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val="en-US" w:eastAsia="zh-CN"/>
        </w:rPr>
        <w:t>特克斯县阔克苏乡</w:t>
      </w:r>
      <w:r>
        <w:rPr>
          <w:rFonts w:hint="eastAsia" w:ascii="方正小标宋_GBK" w:hAnsi="华文中宋" w:eastAsia="方正小标宋_GBK" w:cs="宋体"/>
          <w:b/>
          <w:kern w:val="0"/>
          <w:sz w:val="48"/>
          <w:szCs w:val="48"/>
        </w:rPr>
        <w:t>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33" w:name="_GoBack"/>
      <w:bookmarkEnd w:id="33"/>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val="en-US" w:eastAsia="zh-CN"/>
        </w:rPr>
        <w:t>特克斯县阔克苏乡</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04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643" w:firstLineChars="200"/>
        <w:rPr>
          <w:rStyle w:val="16"/>
          <w:rFonts w:ascii="仿宋" w:hAnsi="仿宋" w:eastAsia="仿宋"/>
          <w:b/>
          <w:bCs/>
          <w:sz w:val="32"/>
          <w:szCs w:val="32"/>
        </w:rPr>
      </w:pPr>
      <w:bookmarkStart w:id="3" w:name="_Toc70450291"/>
      <w:r>
        <w:rPr>
          <w:rStyle w:val="16"/>
          <w:rFonts w:ascii="仿宋" w:hAnsi="仿宋" w:eastAsia="仿宋"/>
          <w:b/>
          <w:bCs/>
          <w:sz w:val="32"/>
          <w:szCs w:val="32"/>
        </w:rPr>
        <w:t>1</w:t>
      </w:r>
      <w:r>
        <w:rPr>
          <w:rStyle w:val="16"/>
          <w:rFonts w:hint="eastAsia" w:ascii="仿宋" w:hAnsi="仿宋" w:eastAsia="仿宋"/>
          <w:b/>
          <w:bCs/>
          <w:sz w:val="32"/>
          <w:szCs w:val="32"/>
        </w:rPr>
        <w:t>、主要职能</w:t>
      </w:r>
      <w:bookmarkEnd w:id="3"/>
    </w:p>
    <w:p>
      <w:pPr>
        <w:spacing w:line="360" w:lineRule="auto"/>
        <w:ind w:firstLine="546"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Theme="minorEastAsia" w:hAnsiTheme="minorEastAsia"/>
          <w:bCs w:val="0"/>
          <w:color w:val="FF0000"/>
          <w:spacing w:val="-4"/>
          <w:sz w:val="28"/>
          <w:szCs w:val="28"/>
        </w:rPr>
        <w:t xml:space="preserve"> </w:t>
      </w:r>
      <w:r>
        <w:rPr>
          <w:rStyle w:val="16"/>
          <w:rFonts w:asciiTheme="minorEastAsia" w:hAnsiTheme="minorEastAsia"/>
          <w:bCs w:val="0"/>
          <w:color w:val="FF0000"/>
          <w:spacing w:val="-4"/>
          <w:sz w:val="28"/>
          <w:szCs w:val="28"/>
        </w:rPr>
        <w:t xml:space="preserve">  </w:t>
      </w:r>
      <w:r>
        <w:rPr>
          <w:rStyle w:val="16"/>
          <w:rFonts w:hint="eastAsia" w:ascii="仿宋_GB2312" w:hAnsi="楷体" w:eastAsia="仿宋_GB2312" w:cs="Times New Roman"/>
          <w:b w:val="0"/>
          <w:spacing w:val="-4"/>
          <w:sz w:val="28"/>
          <w:szCs w:val="28"/>
          <w:highlight w:val="none"/>
          <w:lang w:val="en-US" w:eastAsia="zh-CN"/>
        </w:rPr>
        <w:t>党政办公室。主要负责文秘、档案、保密、翻译、综合协调、后勤保障等工作；负责制定乡镇机关各项工作制度并监督落实；负责乡镇机关效能建设及绩效考核；负责机关、派驻机构、事业机构的综合协调工作；负责建立完善“街乡吹哨、部门报到”工作机制，制定实施“呼叫”事项办理信息反馈评价制度，完善和实施对县直部门和派驻机构履职的考核评价机制。</w:t>
      </w:r>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党建办公室。主要负责纪检、党务、组织、宣传、机构编制、人事、老干部等工作的规划、管理、协调和监督工作；负责宣传党的各项方针、政策；负责党的基层组织建设和党员队伍建设工作；负责党风廉政建设工作；负责人大、团委、工会、妇联等日常事务；负责政协委员的联络工作；负责“访惠聚”驻村工作、升国旗、农牧民夜校、“民族团结一家亲”、村（社区）考核；负责辖区社团组织的培育、发展和管理；负责组织开展辖区居民的宣传、发动、服务工作；负责特殊群体的帮教帮扶、解决居民困难诉求等工作。</w:t>
      </w:r>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经济发展办公室。主要负责农业、农技、农机、林业、畜牧、水利、财政、土地、统计、交通、村镇建设、扶贫开发、招商引资、项目管理、一、二、三产业的规划、管理、服务、协调和监督工作；拟定经济发展、产业结构规划、计划并组织实施；贯彻落实统筹城乡发展、加快推进城乡一体化工作总体部署和目标。</w:t>
      </w:r>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社会事务办公室。主要负责政法、社会治安综合治理、****、信访、司法、统战、科技、教育、文化、卫生、体育、广播电视、旅游、****、民政、劳动就业、社会保障、社会救助、退役军人、残疾人、红十字事业的规划、管理、协调和监督工作；负责拟定社会发展规划、计划并组织实施，协助做好镇人武部工作。</w:t>
      </w:r>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综合执法办公室。主要负责综合行政执法工作的规划、管理、协调和监督工作；完善基层综合执法体制机制，落实行政执法公示制度、执法全过程记录制度、重大执法决定法制审核制度；拟定和实施综合行政执法队伍统一的运行管理制度，包括日常工作制度、包片负责制度、巡查上报制度、执法处置制度、执法协调制度、执法案件督办制度；负责行政执法监督、执法绩效考评；推进综合行政执法信息系统建设；负责联系协调县政府相关行政部门派驻乡镇执法人员以及乡镇执法人员在辖区内开展综合行政执法工作。</w:t>
      </w:r>
    </w:p>
    <w:p>
      <w:pPr>
        <w:spacing w:line="360" w:lineRule="auto"/>
        <w:ind w:firstLine="544" w:firstLineChars="200"/>
        <w:rPr>
          <w:rStyle w:val="16"/>
          <w:rFonts w:hint="default"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 xml:space="preserve">  综合行政执法队：开展市场监管、文化市场、农业、交通运输、环境保护、村容村貌、规划、建设，住房保障、安全生产、水利、食品药品等领域日常执法检查，一般违法案件查处，依法相对集中行使行政处罚权，以乡镇名义开展执法工作，并接受有关县级主管部门的业务指导和监督。</w:t>
      </w:r>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农村合作经济（统计）发展忠中心：主要负责农村经济管理、财务管理等工作；负责农村集体经济，为农村集体经济健康发展提供保障和服务工作；负责镇政府财政预算决算的编制、办理各项收支结算和对帐、报帐工作；履行统计职责。</w:t>
      </w:r>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农业（畜牧业）发展服务中心：主要负责农业、畜牧、兽医、草原、林业、农技、农机、水利、科技等方面的服务工作；协助镇政府制定农业、林业、畜牧业、科技等工作的长远发展规划和年度计划并组织实施。</w:t>
      </w:r>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村镇规划建设发展中心：主要负责国土资源、规划建设、园林绿化、环境保护、交通等方面的服务工作；协助镇政府制定国土资源、园林绿化、环境保护的长远规划和年度计划并组织实施；协助镇政府贯彻落实统筹城乡发展、加快推进城乡一体化工作总体部署和目标。</w:t>
      </w:r>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综治中心（特克斯县特克斯镇网格化服务中心）：负责社会治安综合治理、法治建设、平安创建、网格化管理、安全生产、应急管理、人民武装等方面的服务工作；负责群众信访、矛盾纠纷调解、安置帮教、社区矫正、普法、预防未成年人违法犯罪等工作；负责****管理工作，管理指导基层网格员队伍等；协助镇政府制定社会治安综合治理、法治建设、平安创建、网格化管理、安全生产等工作的长远规划和年度计划并组织实施。</w:t>
      </w:r>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和****生殖健康服务站：负责宣传党和国家有关****的方针、政策、法律，普及****科学知识，负责开展****技术、优生优育等方面和科技引进推广活动；负责做好地方卫生防疫、地方病防治和公共卫生监督等工作；负责承担妇幼保健技术指导、健康教育的宣传工作。</w:t>
      </w:r>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社会保障（民政）服务中心：负责民政、教育、劳动就业、社会保障、社会救助、退役军、残疾人事业、红十字会等方面的服务工作；协助镇政府制定民政、教育、劳动就业、社会保障、社会救助、退役军等工作的长远发展规划和年度计划并组织实施。</w:t>
      </w:r>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文体广电旅游服务中心：主要负责文化、宣传、体育、广播电视、旅游等方面的服务工作；协助镇政府制定文化、宣传等工作的长远发展规划和年度计划并组织实施。</w:t>
      </w:r>
    </w:p>
    <w:p>
      <w:pPr>
        <w:pStyle w:val="5"/>
        <w:spacing w:line="360" w:lineRule="auto"/>
        <w:ind w:firstLine="643" w:firstLineChars="200"/>
        <w:rPr>
          <w:rStyle w:val="16"/>
          <w:rFonts w:hint="eastAsia" w:ascii="仿宋" w:hAnsi="仿宋" w:eastAsia="仿宋" w:cs="仿宋"/>
          <w:b/>
          <w:bCs/>
          <w:sz w:val="32"/>
          <w:szCs w:val="32"/>
        </w:rPr>
      </w:pPr>
      <w:bookmarkStart w:id="4" w:name="_Toc70450292"/>
      <w:r>
        <w:rPr>
          <w:rStyle w:val="16"/>
          <w:rFonts w:hint="eastAsia" w:ascii="仿宋" w:hAnsi="仿宋" w:eastAsia="仿宋" w:cs="仿宋"/>
          <w:b/>
          <w:bCs/>
          <w:sz w:val="32"/>
          <w:szCs w:val="32"/>
        </w:rPr>
        <w:t>2、机构人员构成</w:t>
      </w:r>
      <w:bookmarkEnd w:id="4"/>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（1）组织机构设置：</w:t>
      </w:r>
    </w:p>
    <w:p>
      <w:pPr>
        <w:spacing w:line="360" w:lineRule="auto"/>
        <w:ind w:firstLine="544" w:firstLineChars="200"/>
        <w:rPr>
          <w:rFonts w:hint="eastAsia" w:ascii="仿宋_GB2312" w:eastAsia="仿宋_GB2312"/>
          <w:sz w:val="32"/>
          <w:szCs w:val="32"/>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特克斯县阔克苏乡人民政府的预算包括：特克斯县阔克苏乡(政府及各站所）</w:t>
      </w:r>
      <w:r>
        <w:rPr>
          <w:rStyle w:val="16"/>
          <w:rFonts w:hint="eastAsia" w:ascii="仿宋_GB2312" w:hAnsi="楷体" w:eastAsia="仿宋_GB2312"/>
          <w:b w:val="0"/>
          <w:spacing w:val="-4"/>
          <w:sz w:val="28"/>
          <w:szCs w:val="28"/>
          <w:highlight w:val="none"/>
        </w:rPr>
        <w:t>本级预算及下属</w:t>
      </w:r>
      <w:r>
        <w:rPr>
          <w:rStyle w:val="16"/>
          <w:rFonts w:hint="eastAsia" w:ascii="仿宋_GB2312" w:hAnsi="楷体" w:eastAsia="仿宋_GB2312"/>
          <w:b w:val="0"/>
          <w:spacing w:val="-4"/>
          <w:sz w:val="28"/>
          <w:szCs w:val="28"/>
          <w:highlight w:val="none"/>
          <w:lang w:val="en-US" w:eastAsia="zh-CN"/>
        </w:rPr>
        <w:t>9</w:t>
      </w:r>
      <w:r>
        <w:rPr>
          <w:rStyle w:val="16"/>
          <w:rFonts w:hint="eastAsia" w:ascii="仿宋_GB2312" w:hAnsi="楷体" w:eastAsia="仿宋_GB2312"/>
          <w:b w:val="0"/>
          <w:spacing w:val="-4"/>
          <w:sz w:val="28"/>
          <w:szCs w:val="28"/>
          <w:highlight w:val="none"/>
        </w:rPr>
        <w:t>家预算单位在内的汇总预算。</w:t>
      </w:r>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特克斯县阔克苏乡人民政府本级下设10个科室是：中共特克斯阔克苏乡党委委员会、特克斯阔克苏乡政府、特克斯县阔克苏乡****和****生殖健康服务站、特克斯县阔克苏乡文体广电旅游服务中心、特克斯县阔克苏乡社会保障（民政）服务中心、特克斯县阔克苏乡综治中心（特克斯县特克斯镇网格化服务中心）、特克斯县阔克苏乡村镇规划建设发展中心、特克斯县阔克苏乡综合行政执法队、特克斯县阔克苏乡农村合作经济（统计）发展中心、特克斯县阔克苏农业（畜牧业）发展服务中心。</w:t>
      </w:r>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本单位中，行政单位2家，事业单位8家，纳入特克斯县阔克苏乡人民政府2021年部预算编制范围的二级预算单位包括：</w:t>
      </w:r>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1.特克斯县阔克苏乡****和****生殖健康服务站</w:t>
      </w:r>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2.特克斯县阔克苏乡文体广电旅游服务中心</w:t>
      </w:r>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3.特克斯县阔克苏乡社会保障（民政）服务中心</w:t>
      </w:r>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4.特克斯县阔克苏乡综治中心（特克斯县特克斯镇网格化服务中心</w:t>
      </w:r>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5.特克斯县阔克苏乡村镇规划建设发展中心</w:t>
      </w:r>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6.克斯县阔克苏乡综合行政执法队</w:t>
      </w:r>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7.特克斯县阔克苏乡农村合作经济（统计）发展中心</w:t>
      </w:r>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8.特克斯县阔克苏农业（畜牧业）发展服务中心</w:t>
      </w:r>
    </w:p>
    <w:p>
      <w:pPr>
        <w:pStyle w:val="5"/>
        <w:spacing w:line="360" w:lineRule="auto"/>
        <w:ind w:firstLine="562" w:firstLineChars="200"/>
        <w:rPr>
          <w:rStyle w:val="16"/>
          <w:rFonts w:hint="eastAsia" w:ascii="仿宋" w:hAnsi="仿宋" w:eastAsia="仿宋" w:cstheme="minorBidi"/>
          <w:b/>
          <w:bCs/>
        </w:rPr>
      </w:pPr>
      <w:bookmarkStart w:id="5" w:name="_Toc70450293"/>
      <w:r>
        <w:rPr>
          <w:rStyle w:val="16"/>
          <w:rFonts w:hint="eastAsia" w:ascii="仿宋" w:hAnsi="仿宋" w:eastAsia="仿宋" w:cstheme="minorBidi"/>
          <w:b/>
          <w:bCs/>
          <w:lang w:val="en-US" w:eastAsia="zh-CN"/>
        </w:rPr>
        <w:t>3、</w:t>
      </w:r>
      <w:r>
        <w:rPr>
          <w:rStyle w:val="16"/>
          <w:rFonts w:hint="eastAsia" w:ascii="仿宋" w:hAnsi="仿宋" w:eastAsia="仿宋" w:cstheme="minorBidi"/>
          <w:b/>
          <w:bCs/>
        </w:rPr>
        <w:t>重点工作计划</w:t>
      </w:r>
      <w:bookmarkEnd w:id="5"/>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伊犁州特克斯县阔克苏乡人居环境整治建设项目及特克斯县阔克苏乡提克卓勒村公益林资源培育营造林村庄绿化项目，计划投入520万元，要达到改善村容村貌，提高辖区绿化率，提高群众生活环境水平及出行效率的目标。</w:t>
      </w:r>
    </w:p>
    <w:p>
      <w:pPr>
        <w:pStyle w:val="4"/>
        <w:spacing w:line="360" w:lineRule="auto"/>
        <w:rPr>
          <w:rStyle w:val="16"/>
          <w:rFonts w:hint="eastAsia" w:ascii="仿宋" w:hAnsi="仿宋" w:eastAsia="仿宋" w:cs="仿宋"/>
          <w:b/>
          <w:bCs/>
          <w:sz w:val="32"/>
          <w:szCs w:val="32"/>
        </w:rPr>
      </w:pPr>
      <w:bookmarkStart w:id="6" w:name="_Toc70450294"/>
      <w:r>
        <w:rPr>
          <w:rStyle w:val="16"/>
          <w:rFonts w:hint="eastAsia" w:ascii="仿宋" w:hAnsi="仿宋" w:eastAsia="仿宋" w:cs="仿宋"/>
          <w:b/>
          <w:bCs/>
          <w:sz w:val="32"/>
          <w:szCs w:val="32"/>
        </w:rPr>
        <w:t>（二）部门单位整体支出规模、</w:t>
      </w:r>
      <w:bookmarkStart w:id="7" w:name="_Hlk70339807"/>
      <w:r>
        <w:rPr>
          <w:rStyle w:val="16"/>
          <w:rFonts w:hint="eastAsia" w:ascii="仿宋" w:hAnsi="仿宋" w:eastAsia="仿宋" w:cs="仿宋"/>
          <w:b/>
          <w:bCs/>
          <w:sz w:val="32"/>
          <w:szCs w:val="32"/>
        </w:rPr>
        <w:t>使用方法和主要内容、涉及对象及范围等</w:t>
      </w:r>
      <w:bookmarkEnd w:id="6"/>
    </w:p>
    <w:bookmarkEnd w:id="7"/>
    <w:p>
      <w:pPr>
        <w:pStyle w:val="5"/>
        <w:spacing w:line="360" w:lineRule="auto"/>
        <w:ind w:firstLine="643" w:firstLineChars="200"/>
        <w:rPr>
          <w:rStyle w:val="16"/>
          <w:rFonts w:hint="eastAsia" w:ascii="仿宋" w:hAnsi="仿宋" w:eastAsia="仿宋" w:cs="仿宋"/>
          <w:b/>
          <w:bCs/>
          <w:sz w:val="32"/>
          <w:szCs w:val="32"/>
        </w:rPr>
      </w:pPr>
      <w:bookmarkStart w:id="8" w:name="_Toc70450295"/>
      <w:r>
        <w:rPr>
          <w:rStyle w:val="16"/>
          <w:rFonts w:hint="eastAsia" w:ascii="仿宋" w:hAnsi="仿宋" w:eastAsia="仿宋" w:cs="仿宋"/>
          <w:b/>
          <w:bCs/>
          <w:sz w:val="32"/>
          <w:szCs w:val="32"/>
        </w:rPr>
        <w:t>1、部门单位整体支出规模</w:t>
      </w:r>
      <w:bookmarkEnd w:id="8"/>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2021年批复我单位预算为</w:t>
      </w:r>
      <w:r>
        <w:rPr>
          <w:rStyle w:val="16"/>
          <w:rFonts w:hint="eastAsia" w:ascii="仿宋_GB2312" w:hAnsi="楷体" w:eastAsia="仿宋_GB2312" w:cs="Times New Roman"/>
          <w:b w:val="0"/>
          <w:spacing w:val="-4"/>
          <w:sz w:val="28"/>
          <w:szCs w:val="28"/>
          <w:lang w:val="en-US" w:eastAsia="zh-CN"/>
        </w:rPr>
        <w:t>2531.79</w:t>
      </w:r>
      <w:r>
        <w:rPr>
          <w:rStyle w:val="16"/>
          <w:rFonts w:hint="eastAsia" w:ascii="仿宋_GB2312" w:hAnsi="楷体" w:eastAsia="仿宋_GB2312" w:cs="Times New Roman"/>
          <w:b w:val="0"/>
          <w:spacing w:val="-4"/>
          <w:sz w:val="28"/>
          <w:szCs w:val="28"/>
        </w:rPr>
        <w:t>万元，其中：财政拨款为</w:t>
      </w:r>
      <w:r>
        <w:rPr>
          <w:rStyle w:val="16"/>
          <w:rFonts w:hint="eastAsia" w:ascii="仿宋_GB2312" w:hAnsi="楷体" w:eastAsia="仿宋_GB2312" w:cs="Times New Roman"/>
          <w:b w:val="0"/>
          <w:spacing w:val="-4"/>
          <w:sz w:val="28"/>
          <w:szCs w:val="28"/>
          <w:lang w:val="en-US" w:eastAsia="zh-CN"/>
        </w:rPr>
        <w:t>2531.79</w:t>
      </w:r>
      <w:r>
        <w:rPr>
          <w:rStyle w:val="16"/>
          <w:rFonts w:hint="eastAsia" w:ascii="仿宋_GB2312" w:hAnsi="楷体" w:eastAsia="仿宋_GB2312" w:cs="Times New Roman"/>
          <w:b w:val="0"/>
          <w:spacing w:val="-4"/>
          <w:sz w:val="28"/>
          <w:szCs w:val="28"/>
        </w:rPr>
        <w:t>万元，年中追加资金</w:t>
      </w:r>
      <w:r>
        <w:rPr>
          <w:rStyle w:val="16"/>
          <w:rFonts w:hint="eastAsia" w:ascii="仿宋_GB2312" w:hAnsi="楷体" w:eastAsia="仿宋_GB2312" w:cs="Times New Roman"/>
          <w:b w:val="0"/>
          <w:spacing w:val="-4"/>
          <w:sz w:val="28"/>
          <w:szCs w:val="28"/>
          <w:lang w:val="en-US" w:eastAsia="zh-CN"/>
        </w:rPr>
        <w:t>1600.37</w:t>
      </w:r>
      <w:r>
        <w:rPr>
          <w:rStyle w:val="16"/>
          <w:rFonts w:hint="eastAsia" w:ascii="仿宋_GB2312" w:hAnsi="楷体" w:eastAsia="仿宋_GB2312" w:cs="Times New Roman"/>
          <w:b w:val="0"/>
          <w:spacing w:val="-4"/>
          <w:sz w:val="28"/>
          <w:szCs w:val="28"/>
        </w:rPr>
        <w:t>万元，调整率</w:t>
      </w:r>
      <w:r>
        <w:rPr>
          <w:rStyle w:val="16"/>
          <w:rFonts w:hint="eastAsia" w:ascii="仿宋_GB2312" w:hAnsi="楷体" w:eastAsia="仿宋_GB2312" w:cs="Times New Roman"/>
          <w:b w:val="0"/>
          <w:spacing w:val="-4"/>
          <w:sz w:val="28"/>
          <w:szCs w:val="28"/>
          <w:lang w:val="en-US" w:eastAsia="zh-CN"/>
        </w:rPr>
        <w:t>171.82</w:t>
      </w:r>
      <w:r>
        <w:rPr>
          <w:rStyle w:val="16"/>
          <w:rFonts w:hint="eastAsia" w:ascii="仿宋_GB2312" w:hAnsi="楷体" w:eastAsia="仿宋_GB2312" w:cs="Times New Roman"/>
          <w:b w:val="0"/>
          <w:spacing w:val="-4"/>
          <w:sz w:val="28"/>
          <w:szCs w:val="28"/>
        </w:rPr>
        <w:t>%。对比上年2828.36万元减少</w:t>
      </w:r>
      <w:r>
        <w:rPr>
          <w:rStyle w:val="16"/>
          <w:rFonts w:hint="eastAsia" w:ascii="仿宋_GB2312" w:hAnsi="楷体" w:eastAsia="仿宋_GB2312" w:cs="Times New Roman"/>
          <w:b w:val="0"/>
          <w:spacing w:val="-4"/>
          <w:sz w:val="28"/>
          <w:szCs w:val="28"/>
          <w:lang w:val="en-US" w:eastAsia="zh-CN"/>
        </w:rPr>
        <w:t>296.57</w:t>
      </w:r>
      <w:r>
        <w:rPr>
          <w:rStyle w:val="16"/>
          <w:rFonts w:hint="eastAsia" w:ascii="仿宋_GB2312" w:hAnsi="楷体" w:eastAsia="仿宋_GB2312" w:cs="Times New Roman"/>
          <w:b w:val="0"/>
          <w:spacing w:val="-4"/>
          <w:sz w:val="28"/>
          <w:szCs w:val="28"/>
        </w:rPr>
        <w:t>万元，下降</w:t>
      </w:r>
      <w:r>
        <w:rPr>
          <w:rStyle w:val="16"/>
          <w:rFonts w:hint="eastAsia" w:ascii="仿宋_GB2312" w:hAnsi="楷体" w:eastAsia="仿宋_GB2312" w:cs="Times New Roman"/>
          <w:b w:val="0"/>
          <w:spacing w:val="-4"/>
          <w:sz w:val="28"/>
          <w:szCs w:val="28"/>
          <w:lang w:val="en-US" w:eastAsia="zh-CN"/>
        </w:rPr>
        <w:t>10.49</w:t>
      </w:r>
      <w:r>
        <w:rPr>
          <w:rStyle w:val="16"/>
          <w:rFonts w:hint="eastAsia" w:ascii="仿宋_GB2312" w:hAnsi="楷体" w:eastAsia="仿宋_GB2312" w:cs="Times New Roman"/>
          <w:b w:val="0"/>
          <w:spacing w:val="-4"/>
          <w:sz w:val="28"/>
          <w:szCs w:val="28"/>
        </w:rPr>
        <w:t>%。</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2021年实际决算支出</w:t>
      </w:r>
      <w:r>
        <w:rPr>
          <w:rStyle w:val="16"/>
          <w:rFonts w:hint="eastAsia" w:ascii="仿宋_GB2312" w:hAnsi="楷体" w:eastAsia="仿宋_GB2312" w:cs="Times New Roman"/>
          <w:b w:val="0"/>
          <w:spacing w:val="-4"/>
          <w:sz w:val="28"/>
          <w:szCs w:val="28"/>
          <w:lang w:val="en-US" w:eastAsia="zh-CN"/>
        </w:rPr>
        <w:t>2531.79</w:t>
      </w:r>
      <w:r>
        <w:rPr>
          <w:rStyle w:val="16"/>
          <w:rFonts w:hint="eastAsia" w:ascii="仿宋_GB2312" w:hAnsi="楷体" w:eastAsia="仿宋_GB2312" w:cs="Times New Roman"/>
          <w:b w:val="0"/>
          <w:spacing w:val="-4"/>
          <w:sz w:val="28"/>
          <w:szCs w:val="28"/>
        </w:rPr>
        <w:t>万元，执行率</w:t>
      </w:r>
      <w:r>
        <w:rPr>
          <w:rStyle w:val="16"/>
          <w:rFonts w:hint="eastAsia" w:ascii="仿宋_GB2312" w:hAnsi="楷体" w:eastAsia="仿宋_GB2312" w:cs="Times New Roman"/>
          <w:b w:val="0"/>
          <w:spacing w:val="-4"/>
          <w:sz w:val="28"/>
          <w:szCs w:val="28"/>
          <w:lang w:val="en-US" w:eastAsia="zh-CN"/>
        </w:rPr>
        <w:t>100</w:t>
      </w:r>
      <w:r>
        <w:rPr>
          <w:rStyle w:val="16"/>
          <w:rFonts w:hint="eastAsia" w:ascii="仿宋_GB2312" w:hAnsi="楷体" w:eastAsia="仿宋_GB2312" w:cs="Times New Roman"/>
          <w:b w:val="0"/>
          <w:spacing w:val="-4"/>
          <w:sz w:val="28"/>
          <w:szCs w:val="28"/>
        </w:rPr>
        <w:t>%，其中：</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（1）基本支出</w:t>
      </w:r>
      <w:r>
        <w:rPr>
          <w:rStyle w:val="16"/>
          <w:rFonts w:hint="eastAsia" w:ascii="仿宋_GB2312" w:hAnsi="楷体" w:eastAsia="仿宋_GB2312" w:cs="Times New Roman"/>
          <w:b w:val="0"/>
          <w:spacing w:val="-4"/>
          <w:sz w:val="28"/>
          <w:szCs w:val="28"/>
          <w:lang w:val="en-US" w:eastAsia="zh-CN"/>
        </w:rPr>
        <w:t>1620.34</w:t>
      </w:r>
      <w:r>
        <w:rPr>
          <w:rStyle w:val="16"/>
          <w:rFonts w:hint="eastAsia" w:ascii="仿宋_GB2312" w:hAnsi="楷体" w:eastAsia="仿宋_GB2312" w:cs="Times New Roman"/>
          <w:b w:val="0"/>
          <w:spacing w:val="-4"/>
          <w:sz w:val="28"/>
          <w:szCs w:val="28"/>
        </w:rPr>
        <w:t>万元，占总支出的</w:t>
      </w:r>
      <w:r>
        <w:rPr>
          <w:rStyle w:val="16"/>
          <w:rFonts w:hint="eastAsia" w:ascii="仿宋_GB2312" w:hAnsi="楷体" w:eastAsia="仿宋_GB2312" w:cs="Times New Roman"/>
          <w:b w:val="0"/>
          <w:spacing w:val="-4"/>
          <w:sz w:val="28"/>
          <w:szCs w:val="28"/>
          <w:lang w:val="en-US" w:eastAsia="zh-CN"/>
        </w:rPr>
        <w:t>64</w:t>
      </w:r>
      <w:r>
        <w:rPr>
          <w:rStyle w:val="16"/>
          <w:rFonts w:hint="eastAsia" w:ascii="仿宋_GB2312" w:hAnsi="楷体" w:eastAsia="仿宋_GB2312" w:cs="Times New Roman"/>
          <w:b w:val="0"/>
          <w:spacing w:val="-4"/>
          <w:sz w:val="28"/>
          <w:szCs w:val="28"/>
        </w:rPr>
        <w:t>％，主要用于本单位正常运转、完成日常工作任务而发生的各项支出。其中：工资福利支出</w:t>
      </w:r>
      <w:r>
        <w:rPr>
          <w:rStyle w:val="16"/>
          <w:rFonts w:hint="eastAsia" w:ascii="仿宋_GB2312" w:hAnsi="楷体" w:eastAsia="仿宋_GB2312" w:cs="Times New Roman"/>
          <w:b w:val="0"/>
          <w:spacing w:val="-4"/>
          <w:sz w:val="28"/>
          <w:szCs w:val="28"/>
          <w:lang w:val="en-US" w:eastAsia="zh-CN"/>
        </w:rPr>
        <w:t>1317.64</w:t>
      </w:r>
      <w:r>
        <w:rPr>
          <w:rStyle w:val="16"/>
          <w:rFonts w:hint="eastAsia" w:ascii="仿宋_GB2312" w:hAnsi="楷体" w:eastAsia="仿宋_GB2312" w:cs="Times New Roman"/>
          <w:b w:val="0"/>
          <w:spacing w:val="-4"/>
          <w:sz w:val="28"/>
          <w:szCs w:val="28"/>
        </w:rPr>
        <w:t>万元，主要用于在职和离退休人员基本工资、津贴补贴等人员经费。商品和服务支出</w:t>
      </w:r>
      <w:r>
        <w:rPr>
          <w:rStyle w:val="16"/>
          <w:rFonts w:hint="eastAsia" w:ascii="仿宋_GB2312" w:hAnsi="楷体" w:eastAsia="仿宋_GB2312" w:cs="Times New Roman"/>
          <w:b w:val="0"/>
          <w:spacing w:val="-4"/>
          <w:sz w:val="28"/>
          <w:szCs w:val="28"/>
          <w:lang w:val="en-US" w:eastAsia="zh-CN"/>
        </w:rPr>
        <w:t>186.26</w:t>
      </w:r>
      <w:r>
        <w:rPr>
          <w:rStyle w:val="16"/>
          <w:rFonts w:hint="eastAsia" w:ascii="仿宋_GB2312" w:hAnsi="楷体" w:eastAsia="仿宋_GB2312" w:cs="Times New Roman"/>
          <w:b w:val="0"/>
          <w:spacing w:val="-4"/>
          <w:sz w:val="28"/>
          <w:szCs w:val="28"/>
        </w:rPr>
        <w:t>万元，主要用于办公费、印刷费、水电费、办公设备购置等。对个人和家庭的补助</w:t>
      </w:r>
      <w:r>
        <w:rPr>
          <w:rStyle w:val="16"/>
          <w:rFonts w:hint="eastAsia" w:ascii="仿宋_GB2312" w:hAnsi="楷体" w:eastAsia="仿宋_GB2312" w:cs="Times New Roman"/>
          <w:b w:val="0"/>
          <w:spacing w:val="-4"/>
          <w:sz w:val="28"/>
          <w:szCs w:val="28"/>
          <w:lang w:val="en-US" w:eastAsia="zh-CN"/>
        </w:rPr>
        <w:t>116.44</w:t>
      </w:r>
      <w:r>
        <w:rPr>
          <w:rStyle w:val="16"/>
          <w:rFonts w:hint="eastAsia" w:ascii="仿宋_GB2312" w:hAnsi="楷体" w:eastAsia="仿宋_GB2312" w:cs="Times New Roman"/>
          <w:b w:val="0"/>
          <w:spacing w:val="-4"/>
          <w:sz w:val="28"/>
          <w:szCs w:val="28"/>
        </w:rPr>
        <w:t>万元，主要用于离退休取暖费</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rPr>
        <w:t>遗属补助</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rPr>
        <w:t>伤亡抚恤金</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rPr>
        <w:t>医疗费</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rPr>
        <w:t>住房公积金。资本性支出</w:t>
      </w:r>
      <w:r>
        <w:rPr>
          <w:rStyle w:val="16"/>
          <w:rFonts w:hint="eastAsia" w:ascii="仿宋_GB2312" w:hAnsi="楷体" w:eastAsia="仿宋_GB2312" w:cs="Times New Roman"/>
          <w:b w:val="0"/>
          <w:spacing w:val="-4"/>
          <w:sz w:val="28"/>
          <w:szCs w:val="28"/>
          <w:lang w:val="en-US" w:eastAsia="zh-CN"/>
        </w:rPr>
        <w:t>0</w:t>
      </w:r>
      <w:r>
        <w:rPr>
          <w:rStyle w:val="16"/>
          <w:rFonts w:hint="eastAsia" w:ascii="仿宋_GB2312" w:hAnsi="楷体" w:eastAsia="仿宋_GB2312" w:cs="Times New Roman"/>
          <w:b w:val="0"/>
          <w:spacing w:val="-4"/>
          <w:sz w:val="28"/>
          <w:szCs w:val="28"/>
        </w:rPr>
        <w:t xml:space="preserve">万元。  </w:t>
      </w:r>
    </w:p>
    <w:p>
      <w:pPr>
        <w:spacing w:line="360" w:lineRule="auto"/>
        <w:ind w:firstLine="544" w:firstLineChars="200"/>
        <w:rPr>
          <w:rStyle w:val="16"/>
          <w:rFonts w:hint="default" w:ascii="仿宋_GB2312" w:hAnsi="楷体" w:eastAsia="仿宋_GB2312" w:cs="Times New Roman"/>
          <w:b w:val="0"/>
          <w:spacing w:val="-4"/>
          <w:sz w:val="28"/>
          <w:szCs w:val="28"/>
          <w:lang w:val="en-US"/>
        </w:rPr>
      </w:pPr>
      <w:r>
        <w:rPr>
          <w:rStyle w:val="16"/>
          <w:rFonts w:hint="eastAsia" w:ascii="仿宋_GB2312" w:hAnsi="楷体" w:eastAsia="仿宋_GB2312" w:cs="Times New Roman"/>
          <w:b w:val="0"/>
          <w:spacing w:val="-4"/>
          <w:sz w:val="28"/>
          <w:szCs w:val="28"/>
        </w:rPr>
        <w:t>（2）项目支出</w:t>
      </w:r>
      <w:r>
        <w:rPr>
          <w:rStyle w:val="16"/>
          <w:rFonts w:hint="eastAsia" w:ascii="仿宋_GB2312" w:hAnsi="楷体" w:eastAsia="仿宋_GB2312" w:cs="Times New Roman"/>
          <w:b w:val="0"/>
          <w:spacing w:val="-4"/>
          <w:sz w:val="28"/>
          <w:szCs w:val="28"/>
          <w:lang w:val="en-US" w:eastAsia="zh-CN"/>
        </w:rPr>
        <w:t>911.45</w:t>
      </w:r>
      <w:r>
        <w:rPr>
          <w:rStyle w:val="16"/>
          <w:rFonts w:hint="eastAsia" w:ascii="仿宋_GB2312" w:hAnsi="楷体" w:eastAsia="仿宋_GB2312" w:cs="Times New Roman"/>
          <w:b w:val="0"/>
          <w:spacing w:val="-4"/>
          <w:sz w:val="28"/>
          <w:szCs w:val="28"/>
        </w:rPr>
        <w:t>万元，占总支出的</w:t>
      </w:r>
      <w:r>
        <w:rPr>
          <w:rStyle w:val="16"/>
          <w:rFonts w:hint="eastAsia" w:ascii="仿宋_GB2312" w:hAnsi="楷体" w:eastAsia="仿宋_GB2312" w:cs="Times New Roman"/>
          <w:b w:val="0"/>
          <w:spacing w:val="-4"/>
          <w:sz w:val="28"/>
          <w:szCs w:val="28"/>
          <w:lang w:val="en-US" w:eastAsia="zh-CN"/>
        </w:rPr>
        <w:t>36</w:t>
      </w:r>
      <w:r>
        <w:rPr>
          <w:rStyle w:val="16"/>
          <w:rFonts w:hint="eastAsia" w:ascii="仿宋_GB2312" w:hAnsi="楷体" w:eastAsia="仿宋_GB2312" w:cs="Times New Roman"/>
          <w:b w:val="0"/>
          <w:spacing w:val="-4"/>
          <w:sz w:val="28"/>
          <w:szCs w:val="28"/>
        </w:rPr>
        <w:t>％。其中：伊犁州特克斯县阔克苏乡人居环境整治建设项目安排</w:t>
      </w:r>
      <w:r>
        <w:rPr>
          <w:rStyle w:val="16"/>
          <w:rFonts w:hint="eastAsia" w:ascii="仿宋_GB2312" w:hAnsi="楷体" w:eastAsia="仿宋_GB2312" w:cs="Times New Roman"/>
          <w:b w:val="0"/>
          <w:spacing w:val="-4"/>
          <w:sz w:val="28"/>
          <w:szCs w:val="28"/>
          <w:lang w:val="en-US" w:eastAsia="zh-CN"/>
        </w:rPr>
        <w:t>500</w:t>
      </w:r>
      <w:r>
        <w:rPr>
          <w:rStyle w:val="16"/>
          <w:rFonts w:hint="eastAsia" w:ascii="仿宋_GB2312" w:hAnsi="楷体" w:eastAsia="仿宋_GB2312" w:cs="Times New Roman"/>
          <w:b w:val="0"/>
          <w:spacing w:val="-4"/>
          <w:sz w:val="28"/>
          <w:szCs w:val="28"/>
        </w:rPr>
        <w:t>万元，主要用于完成</w:t>
      </w:r>
      <w:r>
        <w:rPr>
          <w:rStyle w:val="16"/>
          <w:rFonts w:hint="eastAsia" w:ascii="仿宋_GB2312" w:hAnsi="楷体" w:eastAsia="仿宋_GB2312" w:cs="Times New Roman"/>
          <w:b w:val="0"/>
          <w:spacing w:val="-4"/>
          <w:sz w:val="28"/>
          <w:szCs w:val="28"/>
          <w:lang w:val="en-US" w:eastAsia="zh-CN"/>
        </w:rPr>
        <w:t>提高群众生活环境水平及出行效率</w:t>
      </w:r>
      <w:r>
        <w:rPr>
          <w:rStyle w:val="16"/>
          <w:rFonts w:hint="eastAsia" w:ascii="仿宋_GB2312" w:hAnsi="楷体" w:eastAsia="仿宋_GB2312" w:cs="Times New Roman"/>
          <w:b w:val="0"/>
          <w:spacing w:val="-4"/>
          <w:sz w:val="28"/>
          <w:szCs w:val="28"/>
        </w:rPr>
        <w:t>，特克斯县阔克苏乡提克卓勒村公益林资源培育营造林村庄绿化项目安排</w:t>
      </w:r>
      <w:r>
        <w:rPr>
          <w:rStyle w:val="16"/>
          <w:rFonts w:hint="eastAsia" w:ascii="仿宋_GB2312" w:hAnsi="楷体" w:eastAsia="仿宋_GB2312" w:cs="Times New Roman"/>
          <w:b w:val="0"/>
          <w:spacing w:val="-4"/>
          <w:sz w:val="28"/>
          <w:szCs w:val="28"/>
          <w:lang w:val="en-US" w:eastAsia="zh-CN"/>
        </w:rPr>
        <w:t>20</w:t>
      </w:r>
      <w:r>
        <w:rPr>
          <w:rStyle w:val="16"/>
          <w:rFonts w:hint="eastAsia" w:ascii="仿宋_GB2312" w:hAnsi="楷体" w:eastAsia="仿宋_GB2312" w:cs="Times New Roman"/>
          <w:b w:val="0"/>
          <w:spacing w:val="-4"/>
          <w:sz w:val="28"/>
          <w:szCs w:val="28"/>
        </w:rPr>
        <w:t>万元，主要用于完成</w:t>
      </w:r>
      <w:r>
        <w:rPr>
          <w:rStyle w:val="16"/>
          <w:rFonts w:hint="eastAsia" w:ascii="仿宋_GB2312" w:hAnsi="楷体" w:eastAsia="仿宋_GB2312" w:cs="Times New Roman"/>
          <w:b w:val="0"/>
          <w:spacing w:val="-4"/>
          <w:sz w:val="28"/>
          <w:szCs w:val="28"/>
          <w:lang w:val="en-US" w:eastAsia="zh-CN"/>
        </w:rPr>
        <w:t>改善村容村貌，提高辖区绿化率，12.77万元为2020年特克斯县阔克苏乡拱棚质保金；马场社区聘用人员工资378.68万元。</w:t>
      </w:r>
    </w:p>
    <w:p>
      <w:pPr>
        <w:spacing w:line="360" w:lineRule="auto"/>
        <w:ind w:firstLine="544" w:firstLineChars="200"/>
        <w:rPr>
          <w:rStyle w:val="16"/>
          <w:rFonts w:hint="eastAsia" w:ascii="仿宋_GB2312" w:hAnsi="楷体" w:eastAsia="仿宋_GB2312" w:cs="Times New Roman"/>
          <w:b w:val="0"/>
          <w:spacing w:val="-4"/>
          <w:sz w:val="28"/>
          <w:szCs w:val="28"/>
          <w:lang w:eastAsia="zh-CN"/>
        </w:rPr>
      </w:pPr>
      <w:r>
        <w:rPr>
          <w:rStyle w:val="16"/>
          <w:rFonts w:hint="eastAsia" w:ascii="仿宋_GB2312" w:hAnsi="楷体" w:eastAsia="仿宋_GB2312" w:cs="Times New Roman"/>
          <w:b w:val="0"/>
          <w:spacing w:val="-4"/>
          <w:sz w:val="28"/>
          <w:szCs w:val="28"/>
        </w:rPr>
        <w:t>（3）本年度重点项目支出</w:t>
      </w:r>
      <w:r>
        <w:rPr>
          <w:rStyle w:val="16"/>
          <w:rFonts w:hint="eastAsia" w:ascii="仿宋_GB2312" w:hAnsi="楷体" w:eastAsia="仿宋_GB2312" w:cs="Times New Roman"/>
          <w:b w:val="0"/>
          <w:spacing w:val="-4"/>
          <w:sz w:val="28"/>
          <w:szCs w:val="28"/>
          <w:lang w:val="en-US" w:eastAsia="zh-CN"/>
        </w:rPr>
        <w:t>500</w:t>
      </w:r>
      <w:r>
        <w:rPr>
          <w:rStyle w:val="16"/>
          <w:rFonts w:hint="eastAsia" w:ascii="仿宋_GB2312" w:hAnsi="楷体" w:eastAsia="仿宋_GB2312" w:cs="Times New Roman"/>
          <w:b w:val="0"/>
          <w:spacing w:val="-4"/>
          <w:sz w:val="28"/>
          <w:szCs w:val="28"/>
        </w:rPr>
        <w:t>万元，重点支出保障率</w:t>
      </w:r>
      <w:r>
        <w:rPr>
          <w:rStyle w:val="16"/>
          <w:rFonts w:hint="eastAsia" w:ascii="仿宋_GB2312" w:hAnsi="楷体" w:eastAsia="仿宋_GB2312" w:cs="Times New Roman"/>
          <w:b w:val="0"/>
          <w:spacing w:val="-4"/>
          <w:sz w:val="28"/>
          <w:szCs w:val="28"/>
          <w:lang w:val="en-US" w:eastAsia="zh-CN"/>
        </w:rPr>
        <w:t>54.86</w:t>
      </w:r>
      <w:r>
        <w:rPr>
          <w:rStyle w:val="16"/>
          <w:rFonts w:hint="eastAsia" w:ascii="仿宋_GB2312" w:hAnsi="楷体" w:eastAsia="仿宋_GB2312" w:cs="Times New Roman"/>
          <w:b w:val="0"/>
          <w:spacing w:val="-4"/>
          <w:sz w:val="28"/>
          <w:szCs w:val="28"/>
        </w:rPr>
        <w:t>%</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rPr>
        <w:t>其中重点保障项目是阔克苏乡人居环境整治建设项目</w:t>
      </w:r>
      <w:r>
        <w:rPr>
          <w:rStyle w:val="16"/>
          <w:rFonts w:hint="eastAsia" w:ascii="仿宋_GB2312" w:hAnsi="楷体" w:eastAsia="仿宋_GB2312" w:cs="Times New Roman"/>
          <w:b w:val="0"/>
          <w:spacing w:val="-4"/>
          <w:sz w:val="28"/>
          <w:szCs w:val="28"/>
          <w:lang w:eastAsia="zh-CN"/>
        </w:rPr>
        <w:t>。</w:t>
      </w:r>
    </w:p>
    <w:p>
      <w:pPr>
        <w:spacing w:line="360" w:lineRule="auto"/>
        <w:ind w:firstLine="544" w:firstLineChars="200"/>
        <w:rPr>
          <w:rStyle w:val="16"/>
          <w:rFonts w:hint="eastAsia" w:ascii="仿宋_GB2312" w:hAnsi="楷体" w:eastAsia="仿宋_GB2312" w:cs="Times New Roman"/>
          <w:b w:val="0"/>
          <w:spacing w:val="-4"/>
          <w:sz w:val="28"/>
          <w:szCs w:val="28"/>
          <w:lang w:eastAsia="zh-CN"/>
        </w:rPr>
      </w:pPr>
      <w:r>
        <w:rPr>
          <w:rStyle w:val="16"/>
          <w:rFonts w:hint="eastAsia" w:ascii="仿宋_GB2312" w:hAnsi="楷体" w:eastAsia="仿宋_GB2312" w:cs="Times New Roman"/>
          <w:b w:val="0"/>
          <w:spacing w:val="-4"/>
          <w:sz w:val="28"/>
          <w:szCs w:val="28"/>
        </w:rPr>
        <w:t>（4）本年度我</w:t>
      </w:r>
      <w:r>
        <w:rPr>
          <w:rStyle w:val="16"/>
          <w:rFonts w:hint="eastAsia" w:ascii="仿宋_GB2312" w:hAnsi="楷体" w:eastAsia="仿宋_GB2312" w:cs="Times New Roman"/>
          <w:b w:val="0"/>
          <w:spacing w:val="-4"/>
          <w:sz w:val="28"/>
          <w:szCs w:val="28"/>
          <w:lang w:val="en-US" w:eastAsia="zh-CN"/>
        </w:rPr>
        <w:t>单位无</w:t>
      </w:r>
      <w:r>
        <w:rPr>
          <w:rStyle w:val="16"/>
          <w:rFonts w:hint="eastAsia" w:ascii="仿宋_GB2312" w:hAnsi="楷体" w:eastAsia="仿宋_GB2312" w:cs="Times New Roman"/>
          <w:b w:val="0"/>
          <w:spacing w:val="-4"/>
          <w:sz w:val="28"/>
          <w:szCs w:val="28"/>
        </w:rPr>
        <w:t>政府采购预算</w:t>
      </w:r>
      <w:r>
        <w:rPr>
          <w:rStyle w:val="16"/>
          <w:rFonts w:hint="eastAsia" w:ascii="仿宋_GB2312" w:hAnsi="楷体" w:eastAsia="仿宋_GB2312" w:cs="Times New Roman"/>
          <w:b w:val="0"/>
          <w:spacing w:val="-4"/>
          <w:sz w:val="28"/>
          <w:szCs w:val="28"/>
          <w:lang w:eastAsia="zh-CN"/>
        </w:rPr>
        <w:t>。</w:t>
      </w:r>
    </w:p>
    <w:p>
      <w:pPr>
        <w:pStyle w:val="5"/>
        <w:spacing w:line="360" w:lineRule="auto"/>
        <w:ind w:firstLine="643" w:firstLineChars="200"/>
        <w:rPr>
          <w:rStyle w:val="16"/>
          <w:rFonts w:hint="eastAsia" w:ascii="仿宋" w:hAnsi="仿宋" w:eastAsia="仿宋" w:cs="仿宋"/>
          <w:b/>
          <w:bCs/>
          <w:sz w:val="32"/>
          <w:szCs w:val="32"/>
        </w:rPr>
      </w:pPr>
      <w:bookmarkStart w:id="9" w:name="_Toc70450296"/>
      <w:r>
        <w:rPr>
          <w:rStyle w:val="16"/>
          <w:rFonts w:hint="eastAsia" w:ascii="仿宋" w:hAnsi="仿宋" w:eastAsia="仿宋" w:cs="仿宋"/>
          <w:b/>
          <w:bCs/>
          <w:sz w:val="32"/>
          <w:szCs w:val="32"/>
        </w:rPr>
        <w:t>2、整体支出评价使用方法和主要内容、涉及对象及范围等</w:t>
      </w:r>
      <w:bookmarkEnd w:id="9"/>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（1）整体支出评价使用方法</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本次单位整体支出绩效自评采用因素分析法。原因是：资金使用量小，根据该项目实际内容确定分析对象，在年初计算出实际与目标数的差异，确定该指标是由哪些因素构成，可以以目标数为基础对比与分析对象的差异。</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（2）整体支出评价主要内容</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fldChar w:fldCharType="begin"/>
      </w:r>
      <w:r>
        <w:rPr>
          <w:rStyle w:val="16"/>
          <w:rFonts w:hint="eastAsia" w:ascii="仿宋_GB2312" w:hAnsi="楷体" w:eastAsia="仿宋_GB2312" w:cs="Times New Roman"/>
          <w:b w:val="0"/>
          <w:spacing w:val="-4"/>
          <w:sz w:val="28"/>
          <w:szCs w:val="28"/>
        </w:rPr>
        <w:instrText xml:space="preserve"> = 1 \* GB3 </w:instrText>
      </w:r>
      <w:r>
        <w:rPr>
          <w:rStyle w:val="16"/>
          <w:rFonts w:hint="eastAsia" w:ascii="仿宋_GB2312" w:hAnsi="楷体" w:eastAsia="仿宋_GB2312" w:cs="Times New Roman"/>
          <w:b w:val="0"/>
          <w:spacing w:val="-4"/>
          <w:sz w:val="28"/>
          <w:szCs w:val="28"/>
        </w:rPr>
        <w:fldChar w:fldCharType="separate"/>
      </w:r>
      <w:r>
        <w:rPr>
          <w:rStyle w:val="16"/>
          <w:rFonts w:hint="eastAsia" w:ascii="仿宋_GB2312" w:hAnsi="楷体" w:eastAsia="仿宋_GB2312" w:cs="Times New Roman"/>
          <w:b w:val="0"/>
          <w:spacing w:val="-4"/>
          <w:sz w:val="28"/>
          <w:szCs w:val="28"/>
        </w:rPr>
        <w:t>①</w:t>
      </w:r>
      <w:r>
        <w:rPr>
          <w:rStyle w:val="16"/>
          <w:rFonts w:hint="eastAsia" w:ascii="仿宋_GB2312" w:hAnsi="楷体" w:eastAsia="仿宋_GB2312" w:cs="Times New Roman"/>
          <w:b w:val="0"/>
          <w:spacing w:val="-4"/>
          <w:sz w:val="28"/>
          <w:szCs w:val="28"/>
        </w:rPr>
        <w:fldChar w:fldCharType="end"/>
      </w:r>
      <w:r>
        <w:rPr>
          <w:rStyle w:val="16"/>
          <w:rFonts w:hint="eastAsia" w:ascii="仿宋_GB2312" w:hAnsi="楷体" w:eastAsia="仿宋_GB2312" w:cs="Times New Roman"/>
          <w:b w:val="0"/>
          <w:spacing w:val="-4"/>
          <w:sz w:val="28"/>
          <w:szCs w:val="28"/>
        </w:rPr>
        <w:t>绩效目标的设定情况。重点评价绩效目标设立的充分性、明确性、合理性以及细化程度。</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fldChar w:fldCharType="begin"/>
      </w:r>
      <w:r>
        <w:rPr>
          <w:rStyle w:val="16"/>
          <w:rFonts w:hint="eastAsia" w:ascii="仿宋_GB2312" w:hAnsi="楷体" w:eastAsia="仿宋_GB2312" w:cs="Times New Roman"/>
          <w:b w:val="0"/>
          <w:spacing w:val="-4"/>
          <w:sz w:val="28"/>
          <w:szCs w:val="28"/>
        </w:rPr>
        <w:instrText xml:space="preserve"> = 2 \* GB3 </w:instrText>
      </w:r>
      <w:r>
        <w:rPr>
          <w:rStyle w:val="16"/>
          <w:rFonts w:hint="eastAsia" w:ascii="仿宋_GB2312" w:hAnsi="楷体" w:eastAsia="仿宋_GB2312" w:cs="Times New Roman"/>
          <w:b w:val="0"/>
          <w:spacing w:val="-4"/>
          <w:sz w:val="28"/>
          <w:szCs w:val="28"/>
        </w:rPr>
        <w:fldChar w:fldCharType="separate"/>
      </w:r>
      <w:r>
        <w:rPr>
          <w:rStyle w:val="16"/>
          <w:rFonts w:hint="eastAsia" w:ascii="仿宋_GB2312" w:hAnsi="楷体" w:eastAsia="仿宋_GB2312" w:cs="Times New Roman"/>
          <w:b w:val="0"/>
          <w:spacing w:val="-4"/>
          <w:sz w:val="28"/>
          <w:szCs w:val="28"/>
        </w:rPr>
        <w:t>②</w:t>
      </w:r>
      <w:r>
        <w:rPr>
          <w:rStyle w:val="16"/>
          <w:rFonts w:hint="eastAsia" w:ascii="仿宋_GB2312" w:hAnsi="楷体" w:eastAsia="仿宋_GB2312" w:cs="Times New Roman"/>
          <w:b w:val="0"/>
          <w:spacing w:val="-4"/>
          <w:sz w:val="28"/>
          <w:szCs w:val="28"/>
        </w:rPr>
        <w:fldChar w:fldCharType="end"/>
      </w:r>
      <w:r>
        <w:rPr>
          <w:rStyle w:val="16"/>
          <w:rFonts w:hint="eastAsia" w:ascii="仿宋_GB2312" w:hAnsi="楷体" w:eastAsia="仿宋_GB2312" w:cs="Times New Roman"/>
          <w:b w:val="0"/>
          <w:spacing w:val="-4"/>
          <w:sz w:val="28"/>
          <w:szCs w:val="28"/>
        </w:rPr>
        <w:t>资金投入和使用情况。重点评价资金分配过程、投入方式、资金到位、预算执行和结果。</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fldChar w:fldCharType="begin"/>
      </w:r>
      <w:r>
        <w:rPr>
          <w:rStyle w:val="16"/>
          <w:rFonts w:hint="eastAsia" w:ascii="仿宋_GB2312" w:hAnsi="楷体" w:eastAsia="仿宋_GB2312" w:cs="Times New Roman"/>
          <w:b w:val="0"/>
          <w:spacing w:val="-4"/>
          <w:sz w:val="28"/>
          <w:szCs w:val="28"/>
        </w:rPr>
        <w:instrText xml:space="preserve"> = 3 \* GB3 </w:instrText>
      </w:r>
      <w:r>
        <w:rPr>
          <w:rStyle w:val="16"/>
          <w:rFonts w:hint="eastAsia" w:ascii="仿宋_GB2312" w:hAnsi="楷体" w:eastAsia="仿宋_GB2312" w:cs="Times New Roman"/>
          <w:b w:val="0"/>
          <w:spacing w:val="-4"/>
          <w:sz w:val="28"/>
          <w:szCs w:val="28"/>
        </w:rPr>
        <w:fldChar w:fldCharType="separate"/>
      </w:r>
      <w:r>
        <w:rPr>
          <w:rStyle w:val="16"/>
          <w:rFonts w:hint="eastAsia" w:ascii="仿宋_GB2312" w:hAnsi="楷体" w:eastAsia="仿宋_GB2312" w:cs="Times New Roman"/>
          <w:b w:val="0"/>
          <w:spacing w:val="-4"/>
          <w:sz w:val="28"/>
          <w:szCs w:val="28"/>
        </w:rPr>
        <w:t>③</w:t>
      </w:r>
      <w:r>
        <w:rPr>
          <w:rStyle w:val="16"/>
          <w:rFonts w:hint="eastAsia" w:ascii="仿宋_GB2312" w:hAnsi="楷体" w:eastAsia="仿宋_GB2312" w:cs="Times New Roman"/>
          <w:b w:val="0"/>
          <w:spacing w:val="-4"/>
          <w:sz w:val="28"/>
          <w:szCs w:val="28"/>
        </w:rPr>
        <w:fldChar w:fldCharType="end"/>
      </w:r>
      <w:r>
        <w:rPr>
          <w:rStyle w:val="16"/>
          <w:rFonts w:hint="eastAsia" w:ascii="仿宋_GB2312" w:hAnsi="楷体" w:eastAsia="仿宋_GB2312" w:cs="Times New Roman"/>
          <w:b w:val="0"/>
          <w:spacing w:val="-4"/>
          <w:sz w:val="28"/>
          <w:szCs w:val="28"/>
        </w:rPr>
        <w:t>为实现绩效目标制定的制度、采取的措施等。包括项目管理制度、财务管理制度、资产管理制度和绩效跟踪管理措施等。</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fldChar w:fldCharType="begin"/>
      </w:r>
      <w:r>
        <w:rPr>
          <w:rStyle w:val="16"/>
          <w:rFonts w:hint="eastAsia" w:ascii="仿宋_GB2312" w:hAnsi="楷体" w:eastAsia="仿宋_GB2312" w:cs="Times New Roman"/>
          <w:b w:val="0"/>
          <w:spacing w:val="-4"/>
          <w:sz w:val="28"/>
          <w:szCs w:val="28"/>
        </w:rPr>
        <w:instrText xml:space="preserve"> = 4 \* GB3 </w:instrText>
      </w:r>
      <w:r>
        <w:rPr>
          <w:rStyle w:val="16"/>
          <w:rFonts w:hint="eastAsia" w:ascii="仿宋_GB2312" w:hAnsi="楷体" w:eastAsia="仿宋_GB2312" w:cs="Times New Roman"/>
          <w:b w:val="0"/>
          <w:spacing w:val="-4"/>
          <w:sz w:val="28"/>
          <w:szCs w:val="28"/>
        </w:rPr>
        <w:fldChar w:fldCharType="separate"/>
      </w:r>
      <w:r>
        <w:rPr>
          <w:rStyle w:val="16"/>
          <w:rFonts w:hint="eastAsia" w:ascii="仿宋_GB2312" w:hAnsi="楷体" w:eastAsia="仿宋_GB2312" w:cs="Times New Roman"/>
          <w:b w:val="0"/>
          <w:spacing w:val="-4"/>
          <w:sz w:val="28"/>
          <w:szCs w:val="28"/>
        </w:rPr>
        <w:t>④</w:t>
      </w:r>
      <w:r>
        <w:rPr>
          <w:rStyle w:val="16"/>
          <w:rFonts w:hint="eastAsia" w:ascii="仿宋_GB2312" w:hAnsi="楷体" w:eastAsia="仿宋_GB2312" w:cs="Times New Roman"/>
          <w:b w:val="0"/>
          <w:spacing w:val="-4"/>
          <w:sz w:val="28"/>
          <w:szCs w:val="28"/>
        </w:rPr>
        <w:fldChar w:fldCharType="end"/>
      </w:r>
      <w:r>
        <w:rPr>
          <w:rStyle w:val="16"/>
          <w:rFonts w:hint="eastAsia" w:ascii="仿宋_GB2312" w:hAnsi="楷体" w:eastAsia="仿宋_GB2312" w:cs="Times New Roman"/>
          <w:b w:val="0"/>
          <w:spacing w:val="-4"/>
          <w:sz w:val="28"/>
          <w:szCs w:val="28"/>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（3）整体支出评价涉及对象及范围</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涉及对象：本次评价对象是</w:t>
      </w:r>
      <w:r>
        <w:rPr>
          <w:rStyle w:val="16"/>
          <w:rFonts w:hint="eastAsia" w:ascii="仿宋_GB2312" w:hAnsi="楷体" w:eastAsia="仿宋_GB2312" w:cs="Times New Roman"/>
          <w:b w:val="0"/>
          <w:spacing w:val="-4"/>
          <w:sz w:val="28"/>
          <w:szCs w:val="28"/>
          <w:lang w:val="en-US" w:eastAsia="zh-CN"/>
        </w:rPr>
        <w:t>阔克苏乡人民政府</w:t>
      </w:r>
      <w:r>
        <w:rPr>
          <w:rStyle w:val="16"/>
          <w:rFonts w:hint="eastAsia" w:ascii="仿宋_GB2312" w:hAnsi="楷体" w:eastAsia="仿宋_GB2312" w:cs="Times New Roman"/>
          <w:b w:val="0"/>
          <w:spacing w:val="-4"/>
          <w:sz w:val="28"/>
          <w:szCs w:val="28"/>
        </w:rPr>
        <w:t>所有财政资金支出活动。</w:t>
      </w:r>
    </w:p>
    <w:p>
      <w:pPr>
        <w:spacing w:line="360" w:lineRule="auto"/>
        <w:ind w:firstLine="640" w:firstLineChars="200"/>
        <w:rPr>
          <w:rStyle w:val="16"/>
          <w:rFonts w:ascii="仿宋_GB2312" w:eastAsia="仿宋_GB2312"/>
          <w:b w:val="0"/>
          <w:bCs w:val="0"/>
          <w:sz w:val="32"/>
          <w:szCs w:val="32"/>
        </w:rPr>
      </w:pPr>
      <w:r>
        <w:rPr>
          <w:rStyle w:val="16"/>
          <w:rFonts w:hint="eastAsia" w:ascii="仿宋_GB2312" w:eastAsia="仿宋_GB2312"/>
          <w:b w:val="0"/>
          <w:bCs w:val="0"/>
          <w:sz w:val="32"/>
          <w:szCs w:val="32"/>
        </w:rPr>
        <w:t>整体支出评价范围：</w:t>
      </w:r>
    </w:p>
    <w:p>
      <w:pPr>
        <w:spacing w:line="360" w:lineRule="auto"/>
        <w:ind w:firstLine="544" w:firstLineChars="200"/>
        <w:rPr>
          <w:rStyle w:val="16"/>
          <w:rFonts w:hint="eastAsia" w:ascii="仿宋_GB2312" w:hAnsi="楷体" w:eastAsia="仿宋_GB2312" w:cs="Times New Roman"/>
          <w:b w:val="0"/>
          <w:spacing w:val="-4"/>
          <w:sz w:val="28"/>
          <w:szCs w:val="28"/>
          <w:lang w:eastAsia="zh-CN"/>
        </w:rPr>
      </w:pPr>
      <w:r>
        <w:rPr>
          <w:rStyle w:val="16"/>
          <w:rFonts w:hint="eastAsia" w:ascii="仿宋_GB2312" w:hAnsi="楷体" w:eastAsia="仿宋_GB2312" w:cs="Times New Roman"/>
          <w:b w:val="0"/>
          <w:spacing w:val="-4"/>
          <w:sz w:val="28"/>
          <w:szCs w:val="28"/>
        </w:rPr>
        <w:fldChar w:fldCharType="begin"/>
      </w:r>
      <w:r>
        <w:rPr>
          <w:rStyle w:val="16"/>
          <w:rFonts w:hint="eastAsia" w:ascii="仿宋_GB2312" w:hAnsi="楷体" w:eastAsia="仿宋_GB2312" w:cs="Times New Roman"/>
          <w:b w:val="0"/>
          <w:spacing w:val="-4"/>
          <w:sz w:val="28"/>
          <w:szCs w:val="28"/>
        </w:rPr>
        <w:instrText xml:space="preserve"> = 1 \* GB3 </w:instrText>
      </w:r>
      <w:r>
        <w:rPr>
          <w:rStyle w:val="16"/>
          <w:rFonts w:hint="eastAsia" w:ascii="仿宋_GB2312" w:hAnsi="楷体" w:eastAsia="仿宋_GB2312" w:cs="Times New Roman"/>
          <w:b w:val="0"/>
          <w:spacing w:val="-4"/>
          <w:sz w:val="28"/>
          <w:szCs w:val="28"/>
        </w:rPr>
        <w:fldChar w:fldCharType="separate"/>
      </w:r>
      <w:r>
        <w:rPr>
          <w:rStyle w:val="16"/>
          <w:rFonts w:hint="eastAsia" w:ascii="仿宋_GB2312" w:hAnsi="楷体" w:eastAsia="仿宋_GB2312" w:cs="Times New Roman"/>
          <w:b w:val="0"/>
          <w:spacing w:val="-4"/>
          <w:sz w:val="28"/>
          <w:szCs w:val="28"/>
        </w:rPr>
        <w:t>①</w:t>
      </w:r>
      <w:r>
        <w:rPr>
          <w:rStyle w:val="16"/>
          <w:rFonts w:hint="eastAsia" w:ascii="仿宋_GB2312" w:hAnsi="楷体" w:eastAsia="仿宋_GB2312" w:cs="Times New Roman"/>
          <w:b w:val="0"/>
          <w:spacing w:val="-4"/>
          <w:sz w:val="28"/>
          <w:szCs w:val="28"/>
        </w:rPr>
        <w:fldChar w:fldCharType="end"/>
      </w:r>
      <w:r>
        <w:rPr>
          <w:rStyle w:val="16"/>
          <w:rFonts w:hint="eastAsia" w:ascii="仿宋_GB2312" w:hAnsi="楷体" w:eastAsia="仿宋_GB2312" w:cs="Times New Roman"/>
          <w:b w:val="0"/>
          <w:spacing w:val="-4"/>
          <w:sz w:val="28"/>
          <w:szCs w:val="28"/>
        </w:rPr>
        <w:t>基本支出</w:t>
      </w:r>
      <w:r>
        <w:rPr>
          <w:rStyle w:val="16"/>
          <w:rFonts w:hint="eastAsia" w:ascii="仿宋_GB2312" w:hAnsi="楷体" w:eastAsia="仿宋_GB2312" w:cs="Times New Roman"/>
          <w:b w:val="0"/>
          <w:spacing w:val="-4"/>
          <w:sz w:val="28"/>
          <w:szCs w:val="28"/>
          <w:lang w:val="en-US" w:eastAsia="zh-CN"/>
        </w:rPr>
        <w:t>1620.34</w:t>
      </w:r>
      <w:r>
        <w:rPr>
          <w:rStyle w:val="16"/>
          <w:rFonts w:hint="eastAsia" w:ascii="仿宋_GB2312" w:hAnsi="楷体" w:eastAsia="仿宋_GB2312" w:cs="Times New Roman"/>
          <w:b w:val="0"/>
          <w:spacing w:val="-4"/>
          <w:sz w:val="28"/>
          <w:szCs w:val="28"/>
        </w:rPr>
        <w:t>万元，其中：工资福利支出、商品和服务支出、对个人和家庭的补助支出</w:t>
      </w:r>
      <w:r>
        <w:rPr>
          <w:rStyle w:val="16"/>
          <w:rFonts w:hint="eastAsia" w:ascii="仿宋_GB2312" w:hAnsi="楷体" w:eastAsia="仿宋_GB2312" w:cs="Times New Roman"/>
          <w:b w:val="0"/>
          <w:spacing w:val="-4"/>
          <w:sz w:val="28"/>
          <w:szCs w:val="28"/>
          <w:lang w:eastAsia="zh-CN"/>
        </w:rPr>
        <w:t>。</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fldChar w:fldCharType="begin"/>
      </w:r>
      <w:r>
        <w:rPr>
          <w:rStyle w:val="16"/>
          <w:rFonts w:hint="eastAsia" w:ascii="仿宋_GB2312" w:hAnsi="楷体" w:eastAsia="仿宋_GB2312" w:cs="Times New Roman"/>
          <w:b w:val="0"/>
          <w:spacing w:val="-4"/>
          <w:sz w:val="28"/>
          <w:szCs w:val="28"/>
        </w:rPr>
        <w:instrText xml:space="preserve"> = 2 \* GB3 </w:instrText>
      </w:r>
      <w:r>
        <w:rPr>
          <w:rStyle w:val="16"/>
          <w:rFonts w:hint="eastAsia" w:ascii="仿宋_GB2312" w:hAnsi="楷体" w:eastAsia="仿宋_GB2312" w:cs="Times New Roman"/>
          <w:b w:val="0"/>
          <w:spacing w:val="-4"/>
          <w:sz w:val="28"/>
          <w:szCs w:val="28"/>
        </w:rPr>
        <w:fldChar w:fldCharType="separate"/>
      </w:r>
      <w:r>
        <w:rPr>
          <w:rStyle w:val="16"/>
          <w:rFonts w:hint="eastAsia" w:ascii="仿宋_GB2312" w:hAnsi="楷体" w:eastAsia="仿宋_GB2312" w:cs="Times New Roman"/>
          <w:b w:val="0"/>
          <w:spacing w:val="-4"/>
          <w:sz w:val="28"/>
          <w:szCs w:val="28"/>
        </w:rPr>
        <w:t>②</w:t>
      </w:r>
      <w:r>
        <w:rPr>
          <w:rStyle w:val="16"/>
          <w:rFonts w:hint="eastAsia" w:ascii="仿宋_GB2312" w:hAnsi="楷体" w:eastAsia="仿宋_GB2312" w:cs="Times New Roman"/>
          <w:b w:val="0"/>
          <w:spacing w:val="-4"/>
          <w:sz w:val="28"/>
          <w:szCs w:val="28"/>
        </w:rPr>
        <w:fldChar w:fldCharType="end"/>
      </w:r>
      <w:r>
        <w:rPr>
          <w:rStyle w:val="16"/>
          <w:rFonts w:hint="eastAsia" w:ascii="仿宋_GB2312" w:hAnsi="楷体" w:eastAsia="仿宋_GB2312" w:cs="Times New Roman"/>
          <w:b w:val="0"/>
          <w:spacing w:val="-4"/>
          <w:sz w:val="28"/>
          <w:szCs w:val="28"/>
        </w:rPr>
        <w:t>项目支出</w:t>
      </w:r>
      <w:r>
        <w:rPr>
          <w:rStyle w:val="16"/>
          <w:rFonts w:hint="eastAsia" w:ascii="仿宋_GB2312" w:hAnsi="楷体" w:eastAsia="仿宋_GB2312" w:cs="Times New Roman"/>
          <w:b w:val="0"/>
          <w:spacing w:val="-4"/>
          <w:sz w:val="28"/>
          <w:szCs w:val="28"/>
          <w:lang w:val="en-US" w:eastAsia="zh-CN"/>
        </w:rPr>
        <w:t>911.45</w:t>
      </w:r>
      <w:r>
        <w:rPr>
          <w:rStyle w:val="16"/>
          <w:rFonts w:hint="eastAsia" w:ascii="仿宋_GB2312" w:hAnsi="楷体" w:eastAsia="仿宋_GB2312" w:cs="Times New Roman"/>
          <w:b w:val="0"/>
          <w:spacing w:val="-4"/>
          <w:sz w:val="28"/>
          <w:szCs w:val="28"/>
        </w:rPr>
        <w:t>万元：伊犁州特克斯县阔克苏乡人居环境整治建设项目</w:t>
      </w:r>
      <w:r>
        <w:rPr>
          <w:rStyle w:val="16"/>
          <w:rFonts w:hint="eastAsia" w:ascii="仿宋_GB2312" w:hAnsi="楷体" w:eastAsia="仿宋_GB2312" w:cs="Times New Roman"/>
          <w:b w:val="0"/>
          <w:spacing w:val="-4"/>
          <w:sz w:val="28"/>
          <w:szCs w:val="28"/>
          <w:lang w:val="en-US" w:eastAsia="zh-CN"/>
        </w:rPr>
        <w:t>；</w:t>
      </w:r>
      <w:r>
        <w:rPr>
          <w:rStyle w:val="16"/>
          <w:rFonts w:hint="eastAsia" w:ascii="仿宋_GB2312" w:hAnsi="楷体" w:eastAsia="仿宋_GB2312" w:cs="Times New Roman"/>
          <w:b w:val="0"/>
          <w:spacing w:val="-4"/>
          <w:sz w:val="28"/>
          <w:szCs w:val="28"/>
        </w:rPr>
        <w:t>特克斯县阔克苏乡提克卓勒村公益林资源培育营造林村庄绿化项目</w:t>
      </w:r>
      <w:r>
        <w:rPr>
          <w:rStyle w:val="16"/>
          <w:rFonts w:hint="eastAsia" w:ascii="仿宋_GB2312" w:hAnsi="楷体" w:eastAsia="仿宋_GB2312" w:cs="Times New Roman"/>
          <w:b w:val="0"/>
          <w:spacing w:val="-4"/>
          <w:sz w:val="28"/>
          <w:szCs w:val="28"/>
          <w:lang w:val="en-US" w:eastAsia="zh-CN"/>
        </w:rPr>
        <w:t>；2020年特克斯县阔克苏乡拱棚质保金；马场社区聘用人员工资</w:t>
      </w:r>
      <w:r>
        <w:rPr>
          <w:rStyle w:val="16"/>
          <w:rFonts w:hint="eastAsia" w:ascii="仿宋_GB2312" w:hAnsi="楷体" w:eastAsia="仿宋_GB2312" w:cs="Times New Roman"/>
          <w:b w:val="0"/>
          <w:spacing w:val="-4"/>
          <w:sz w:val="28"/>
          <w:szCs w:val="28"/>
          <w:lang w:eastAsia="zh-CN"/>
        </w:rPr>
        <w:t>。</w:t>
      </w:r>
    </w:p>
    <w:p>
      <w:pPr>
        <w:pStyle w:val="3"/>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643" w:firstLineChars="200"/>
        <w:rPr>
          <w:rStyle w:val="16"/>
          <w:rFonts w:hint="eastAsia" w:ascii="仿宋" w:hAnsi="仿宋" w:eastAsia="仿宋" w:cs="仿宋"/>
          <w:b/>
          <w:bCs/>
          <w:sz w:val="32"/>
          <w:szCs w:val="32"/>
        </w:rPr>
      </w:pPr>
      <w:bookmarkStart w:id="12" w:name="_Toc70450299"/>
      <w:r>
        <w:rPr>
          <w:rStyle w:val="16"/>
          <w:rFonts w:hint="eastAsia" w:ascii="仿宋" w:hAnsi="仿宋" w:eastAsia="仿宋" w:cs="仿宋"/>
          <w:b/>
          <w:bCs/>
          <w:sz w:val="32"/>
          <w:szCs w:val="32"/>
        </w:rPr>
        <w:t>1、预算编制管理</w:t>
      </w:r>
      <w:bookmarkEnd w:id="12"/>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我单位严格按照财政部门预算编制与预算调整的工作要求，在预算编制、分配依据充分的条件下，切实做好“先定目标再编预算”，确保预算分配结果合理。同时按照特克斯县财政局要求，部门预算及绩效目标在特克斯县公共信息网公开，</w:t>
      </w:r>
      <w:r>
        <w:rPr>
          <w:rStyle w:val="16"/>
          <w:rFonts w:hint="eastAsia" w:ascii="仿宋_GB2312" w:hAnsi="楷体" w:eastAsia="仿宋_GB2312" w:cs="Times New Roman"/>
          <w:b w:val="0"/>
          <w:spacing w:val="-4"/>
          <w:sz w:val="28"/>
          <w:szCs w:val="28"/>
          <w:lang w:val="zh-CN" w:eastAsia="zh-CN"/>
        </w:rPr>
        <w:t>广泛接受社会监督。</w:t>
      </w:r>
    </w:p>
    <w:p>
      <w:pPr>
        <w:pStyle w:val="5"/>
        <w:spacing w:line="360" w:lineRule="auto"/>
        <w:ind w:firstLine="643" w:firstLineChars="200"/>
        <w:rPr>
          <w:rStyle w:val="16"/>
          <w:rFonts w:hint="eastAsia" w:ascii="仿宋" w:hAnsi="仿宋" w:eastAsia="仿宋" w:cs="仿宋"/>
          <w:b/>
          <w:bCs/>
          <w:sz w:val="32"/>
          <w:szCs w:val="32"/>
        </w:rPr>
      </w:pPr>
      <w:bookmarkStart w:id="13" w:name="_Toc70450300"/>
      <w:r>
        <w:rPr>
          <w:rStyle w:val="16"/>
          <w:rFonts w:hint="eastAsia" w:ascii="仿宋" w:hAnsi="仿宋" w:eastAsia="仿宋" w:cs="仿宋"/>
          <w:b/>
          <w:bCs/>
          <w:sz w:val="32"/>
          <w:szCs w:val="32"/>
        </w:rPr>
        <w:t>2、预算支出管理</w:t>
      </w:r>
      <w:bookmarkEnd w:id="13"/>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我</w:t>
      </w:r>
      <w:r>
        <w:rPr>
          <w:rStyle w:val="16"/>
          <w:rFonts w:hint="eastAsia" w:ascii="仿宋_GB2312" w:hAnsi="楷体" w:eastAsia="仿宋_GB2312" w:cs="Times New Roman"/>
          <w:b w:val="0"/>
          <w:spacing w:val="-4"/>
          <w:sz w:val="28"/>
          <w:szCs w:val="28"/>
          <w:lang w:val="en-US" w:eastAsia="zh-CN"/>
        </w:rPr>
        <w:t>单位</w:t>
      </w:r>
      <w:r>
        <w:rPr>
          <w:rStyle w:val="16"/>
          <w:rFonts w:hint="eastAsia" w:ascii="仿宋_GB2312" w:hAnsi="楷体" w:eastAsia="仿宋_GB2312" w:cs="Times New Roman"/>
          <w:b w:val="0"/>
          <w:spacing w:val="-4"/>
          <w:sz w:val="28"/>
          <w:szCs w:val="28"/>
        </w:rPr>
        <w:t>按照财政要求基本支出分月度申报资金使用计划，由财政部门按照进度每月按期拨付，人员支出按照工资计划发放工资；依照《</w:t>
      </w:r>
      <w:r>
        <w:rPr>
          <w:rStyle w:val="16"/>
          <w:rFonts w:hint="eastAsia" w:ascii="仿宋_GB2312" w:hAnsi="楷体" w:eastAsia="仿宋_GB2312" w:cs="Times New Roman"/>
          <w:b w:val="0"/>
          <w:spacing w:val="-4"/>
          <w:sz w:val="28"/>
          <w:szCs w:val="28"/>
          <w:lang w:val="en-US" w:eastAsia="zh-CN"/>
        </w:rPr>
        <w:t>特克斯县阔克苏乡人民政府收入支出财务制度</w:t>
      </w:r>
      <w:r>
        <w:rPr>
          <w:rStyle w:val="16"/>
          <w:rFonts w:hint="eastAsia" w:ascii="仿宋_GB2312" w:hAnsi="楷体" w:eastAsia="仿宋_GB2312" w:cs="Times New Roman"/>
          <w:b w:val="0"/>
          <w:spacing w:val="-4"/>
          <w:sz w:val="28"/>
          <w:szCs w:val="28"/>
        </w:rPr>
        <w:t>》相关规定和《</w:t>
      </w:r>
      <w:r>
        <w:rPr>
          <w:rStyle w:val="16"/>
          <w:rFonts w:hint="eastAsia" w:ascii="仿宋_GB2312" w:hAnsi="楷体" w:eastAsia="仿宋_GB2312" w:cs="Times New Roman"/>
          <w:b w:val="0"/>
          <w:spacing w:val="-4"/>
          <w:sz w:val="28"/>
          <w:szCs w:val="28"/>
          <w:lang w:val="en-US" w:eastAsia="zh-CN"/>
        </w:rPr>
        <w:t>预算法</w:t>
      </w:r>
      <w:r>
        <w:rPr>
          <w:rStyle w:val="16"/>
          <w:rFonts w:hint="eastAsia" w:ascii="仿宋_GB2312" w:hAnsi="楷体" w:eastAsia="仿宋_GB2312" w:cs="Times New Roman"/>
          <w:b w:val="0"/>
          <w:spacing w:val="-4"/>
          <w:sz w:val="28"/>
          <w:szCs w:val="28"/>
        </w:rPr>
        <w:t>》规定流程，资金支出按照我内控体系中设定的流程申报审批进行；项目支出属于政府采购的，按照</w:t>
      </w:r>
      <w:r>
        <w:rPr>
          <w:rStyle w:val="16"/>
          <w:rFonts w:hint="eastAsia" w:ascii="仿宋_GB2312" w:hAnsi="楷体" w:eastAsia="仿宋_GB2312" w:cs="Times New Roman"/>
          <w:b w:val="0"/>
          <w:spacing w:val="-4"/>
          <w:sz w:val="28"/>
          <w:szCs w:val="28"/>
          <w:lang w:val="en-US" w:eastAsia="zh-CN"/>
        </w:rPr>
        <w:t>财政局</w:t>
      </w:r>
      <w:r>
        <w:rPr>
          <w:rStyle w:val="16"/>
          <w:rFonts w:hint="eastAsia" w:ascii="仿宋_GB2312" w:hAnsi="楷体" w:eastAsia="仿宋_GB2312" w:cs="Times New Roman"/>
          <w:b w:val="0"/>
          <w:spacing w:val="-4"/>
          <w:sz w:val="28"/>
          <w:szCs w:val="28"/>
        </w:rPr>
        <w:t>《</w:t>
      </w:r>
      <w:r>
        <w:rPr>
          <w:rStyle w:val="16"/>
          <w:rFonts w:hint="eastAsia" w:ascii="仿宋_GB2312" w:hAnsi="楷体" w:eastAsia="仿宋_GB2312" w:cs="Times New Roman"/>
          <w:b w:val="0"/>
          <w:spacing w:val="-4"/>
          <w:sz w:val="28"/>
          <w:szCs w:val="28"/>
          <w:lang w:val="en-US" w:eastAsia="zh-CN"/>
        </w:rPr>
        <w:t>新疆维吾尔自治区2021-2022年度政府采购集中目录及标准</w:t>
      </w:r>
      <w:r>
        <w:rPr>
          <w:rStyle w:val="16"/>
          <w:rFonts w:hint="eastAsia" w:ascii="仿宋_GB2312" w:hAnsi="楷体" w:eastAsia="仿宋_GB2312" w:cs="Times New Roman"/>
          <w:b w:val="0"/>
          <w:spacing w:val="-4"/>
          <w:sz w:val="28"/>
          <w:szCs w:val="28"/>
        </w:rPr>
        <w:t>》组织人员制定采购计划，按照财政局采购部门批复，进行公开招标、邀请招标等方式进行；属于非政府采购的项目，按照“三重一大”制度规定，重大项目支出上党组会研究决定。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rFonts w:hint="eastAsia" w:ascii="仿宋" w:hAnsi="仿宋" w:eastAsia="仿宋" w:cs="仿宋"/>
          <w:b/>
          <w:bCs/>
          <w:sz w:val="32"/>
          <w:szCs w:val="32"/>
        </w:rPr>
      </w:pPr>
      <w:bookmarkStart w:id="14" w:name="_Toc70450301"/>
      <w:r>
        <w:rPr>
          <w:rStyle w:val="16"/>
          <w:rFonts w:hint="eastAsia" w:ascii="仿宋" w:hAnsi="仿宋" w:eastAsia="仿宋" w:cs="仿宋"/>
          <w:b/>
          <w:bCs/>
          <w:sz w:val="32"/>
          <w:szCs w:val="32"/>
        </w:rPr>
        <w:t>（二）基本支出管理及使用情况</w:t>
      </w:r>
      <w:bookmarkEnd w:id="14"/>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2021年基本支出预算安排</w:t>
      </w:r>
      <w:r>
        <w:rPr>
          <w:rStyle w:val="16"/>
          <w:rFonts w:hint="eastAsia" w:ascii="仿宋_GB2312" w:hAnsi="楷体" w:eastAsia="仿宋_GB2312" w:cs="Times New Roman"/>
          <w:b w:val="0"/>
          <w:spacing w:val="-4"/>
          <w:sz w:val="28"/>
          <w:szCs w:val="28"/>
          <w:lang w:val="en-US" w:eastAsia="zh-CN"/>
        </w:rPr>
        <w:t>1620.34</w:t>
      </w:r>
      <w:r>
        <w:rPr>
          <w:rStyle w:val="16"/>
          <w:rFonts w:hint="eastAsia" w:ascii="仿宋_GB2312" w:hAnsi="楷体" w:eastAsia="仿宋_GB2312" w:cs="Times New Roman"/>
          <w:b w:val="0"/>
          <w:spacing w:val="-4"/>
          <w:sz w:val="28"/>
          <w:szCs w:val="28"/>
        </w:rPr>
        <w:t>万元，实际到位</w:t>
      </w:r>
      <w:r>
        <w:rPr>
          <w:rStyle w:val="16"/>
          <w:rFonts w:hint="eastAsia" w:ascii="仿宋_GB2312" w:hAnsi="楷体" w:eastAsia="仿宋_GB2312" w:cs="Times New Roman"/>
          <w:b w:val="0"/>
          <w:spacing w:val="-4"/>
          <w:sz w:val="28"/>
          <w:szCs w:val="28"/>
          <w:lang w:val="en-US" w:eastAsia="zh-CN"/>
        </w:rPr>
        <w:t>1620.34</w:t>
      </w:r>
      <w:r>
        <w:rPr>
          <w:rStyle w:val="16"/>
          <w:rFonts w:hint="eastAsia" w:ascii="仿宋_GB2312" w:hAnsi="楷体" w:eastAsia="仿宋_GB2312" w:cs="Times New Roman"/>
          <w:b w:val="0"/>
          <w:spacing w:val="-4"/>
          <w:sz w:val="28"/>
          <w:szCs w:val="28"/>
        </w:rPr>
        <w:t>万元,实际支出</w:t>
      </w:r>
      <w:r>
        <w:rPr>
          <w:rStyle w:val="16"/>
          <w:rFonts w:hint="eastAsia" w:ascii="仿宋_GB2312" w:hAnsi="楷体" w:eastAsia="仿宋_GB2312" w:cs="Times New Roman"/>
          <w:b w:val="0"/>
          <w:spacing w:val="-4"/>
          <w:sz w:val="28"/>
          <w:szCs w:val="28"/>
          <w:lang w:val="en-US" w:eastAsia="zh-CN"/>
        </w:rPr>
        <w:t>1620.34</w:t>
      </w:r>
      <w:r>
        <w:rPr>
          <w:rStyle w:val="16"/>
          <w:rFonts w:hint="eastAsia" w:ascii="仿宋_GB2312" w:hAnsi="楷体" w:eastAsia="仿宋_GB2312" w:cs="Times New Roman"/>
          <w:b w:val="0"/>
          <w:spacing w:val="-4"/>
          <w:sz w:val="28"/>
          <w:szCs w:val="28"/>
        </w:rPr>
        <w:t>万元，占总支出的</w:t>
      </w:r>
      <w:r>
        <w:rPr>
          <w:rStyle w:val="16"/>
          <w:rFonts w:hint="eastAsia" w:ascii="仿宋_GB2312" w:hAnsi="楷体" w:eastAsia="仿宋_GB2312" w:cs="Times New Roman"/>
          <w:b w:val="0"/>
          <w:spacing w:val="-4"/>
          <w:sz w:val="28"/>
          <w:szCs w:val="28"/>
          <w:lang w:val="en-US" w:eastAsia="zh-CN"/>
        </w:rPr>
        <w:t>64</w:t>
      </w:r>
      <w:r>
        <w:rPr>
          <w:rStyle w:val="16"/>
          <w:rFonts w:hint="eastAsia" w:ascii="仿宋_GB2312" w:hAnsi="楷体" w:eastAsia="仿宋_GB2312" w:cs="Times New Roman"/>
          <w:b w:val="0"/>
          <w:spacing w:val="-4"/>
          <w:sz w:val="28"/>
          <w:szCs w:val="28"/>
        </w:rPr>
        <w:t>％，其中：工资福利支出</w:t>
      </w:r>
      <w:r>
        <w:rPr>
          <w:rStyle w:val="16"/>
          <w:rFonts w:hint="eastAsia" w:ascii="仿宋_GB2312" w:hAnsi="楷体" w:eastAsia="仿宋_GB2312" w:cs="Times New Roman"/>
          <w:b w:val="0"/>
          <w:spacing w:val="-4"/>
          <w:sz w:val="28"/>
          <w:szCs w:val="28"/>
          <w:lang w:val="en-US" w:eastAsia="zh-CN"/>
        </w:rPr>
        <w:t>1317.64</w:t>
      </w:r>
      <w:r>
        <w:rPr>
          <w:rStyle w:val="16"/>
          <w:rFonts w:hint="eastAsia" w:ascii="仿宋_GB2312" w:hAnsi="楷体" w:eastAsia="仿宋_GB2312" w:cs="Times New Roman"/>
          <w:b w:val="0"/>
          <w:spacing w:val="-4"/>
          <w:sz w:val="28"/>
          <w:szCs w:val="28"/>
        </w:rPr>
        <w:t>万元、商品和服务支出</w:t>
      </w:r>
      <w:r>
        <w:rPr>
          <w:rStyle w:val="16"/>
          <w:rFonts w:hint="eastAsia" w:ascii="仿宋_GB2312" w:hAnsi="楷体" w:eastAsia="仿宋_GB2312" w:cs="Times New Roman"/>
          <w:b w:val="0"/>
          <w:spacing w:val="-4"/>
          <w:sz w:val="28"/>
          <w:szCs w:val="28"/>
          <w:lang w:val="en-US" w:eastAsia="zh-CN"/>
        </w:rPr>
        <w:t>186.26</w:t>
      </w:r>
      <w:r>
        <w:rPr>
          <w:rStyle w:val="16"/>
          <w:rFonts w:hint="eastAsia" w:ascii="仿宋_GB2312" w:hAnsi="楷体" w:eastAsia="仿宋_GB2312" w:cs="Times New Roman"/>
          <w:b w:val="0"/>
          <w:spacing w:val="-4"/>
          <w:sz w:val="28"/>
          <w:szCs w:val="28"/>
        </w:rPr>
        <w:t>万元、对个人和家庭的补助</w:t>
      </w:r>
      <w:r>
        <w:rPr>
          <w:rStyle w:val="16"/>
          <w:rFonts w:hint="eastAsia" w:ascii="仿宋_GB2312" w:hAnsi="楷体" w:eastAsia="仿宋_GB2312" w:cs="Times New Roman"/>
          <w:b w:val="0"/>
          <w:spacing w:val="-4"/>
          <w:sz w:val="28"/>
          <w:szCs w:val="28"/>
          <w:lang w:val="en-US" w:eastAsia="zh-CN"/>
        </w:rPr>
        <w:t>116.44</w:t>
      </w:r>
      <w:r>
        <w:rPr>
          <w:rStyle w:val="16"/>
          <w:rFonts w:hint="eastAsia" w:ascii="仿宋_GB2312" w:hAnsi="楷体" w:eastAsia="仿宋_GB2312" w:cs="Times New Roman"/>
          <w:b w:val="0"/>
          <w:spacing w:val="-4"/>
          <w:sz w:val="28"/>
          <w:szCs w:val="28"/>
        </w:rPr>
        <w:t>万元、主要用于离退休取暖费</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rPr>
        <w:t>遗属补助</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rPr>
        <w:t>伤亡抚恤金</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rPr>
        <w:t>医疗费</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rPr>
        <w:t>住房公积金。资本性支出</w:t>
      </w:r>
      <w:r>
        <w:rPr>
          <w:rStyle w:val="16"/>
          <w:rFonts w:hint="eastAsia" w:ascii="仿宋_GB2312" w:hAnsi="楷体" w:eastAsia="仿宋_GB2312" w:cs="Times New Roman"/>
          <w:b w:val="0"/>
          <w:spacing w:val="-4"/>
          <w:sz w:val="28"/>
          <w:szCs w:val="28"/>
          <w:lang w:val="en-US" w:eastAsia="zh-CN"/>
        </w:rPr>
        <w:t>0</w:t>
      </w:r>
      <w:r>
        <w:rPr>
          <w:rStyle w:val="16"/>
          <w:rFonts w:hint="eastAsia" w:ascii="仿宋_GB2312" w:hAnsi="楷体" w:eastAsia="仿宋_GB2312" w:cs="Times New Roman"/>
          <w:b w:val="0"/>
          <w:spacing w:val="-4"/>
          <w:sz w:val="28"/>
          <w:szCs w:val="28"/>
        </w:rPr>
        <w:t>万元。</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2021年基本支出比上年2089.1万元,减少</w:t>
      </w:r>
      <w:r>
        <w:rPr>
          <w:rStyle w:val="16"/>
          <w:rFonts w:hint="eastAsia" w:ascii="仿宋_GB2312" w:hAnsi="楷体" w:eastAsia="仿宋_GB2312" w:cs="Times New Roman"/>
          <w:b w:val="0"/>
          <w:spacing w:val="-4"/>
          <w:sz w:val="28"/>
          <w:szCs w:val="28"/>
          <w:lang w:val="en-US" w:eastAsia="zh-CN"/>
        </w:rPr>
        <w:t>468.76</w:t>
      </w:r>
      <w:r>
        <w:rPr>
          <w:rStyle w:val="16"/>
          <w:rFonts w:hint="eastAsia" w:ascii="仿宋_GB2312" w:hAnsi="楷体" w:eastAsia="仿宋_GB2312" w:cs="Times New Roman"/>
          <w:b w:val="0"/>
          <w:spacing w:val="-4"/>
          <w:sz w:val="28"/>
          <w:szCs w:val="28"/>
        </w:rPr>
        <w:t xml:space="preserve">万元，下降 </w:t>
      </w:r>
      <w:r>
        <w:rPr>
          <w:rStyle w:val="16"/>
          <w:rFonts w:hint="eastAsia" w:ascii="仿宋_GB2312" w:hAnsi="楷体" w:eastAsia="仿宋_GB2312" w:cs="Times New Roman"/>
          <w:b w:val="0"/>
          <w:spacing w:val="-4"/>
          <w:sz w:val="28"/>
          <w:szCs w:val="28"/>
          <w:lang w:val="en-US" w:eastAsia="zh-CN"/>
        </w:rPr>
        <w:t>22.44</w:t>
      </w:r>
      <w:r>
        <w:rPr>
          <w:rStyle w:val="16"/>
          <w:rFonts w:hint="eastAsia" w:ascii="仿宋_GB2312" w:hAnsi="楷体" w:eastAsia="仿宋_GB2312" w:cs="Times New Roman"/>
          <w:b w:val="0"/>
          <w:spacing w:val="-4"/>
          <w:sz w:val="28"/>
          <w:szCs w:val="28"/>
        </w:rPr>
        <w:t>%，支出减少的主要原因</w:t>
      </w:r>
      <w:r>
        <w:rPr>
          <w:rStyle w:val="16"/>
          <w:rFonts w:hint="eastAsia" w:ascii="仿宋_GB2312" w:hAnsi="楷体" w:eastAsia="仿宋_GB2312" w:cs="Times New Roman"/>
          <w:b w:val="0"/>
          <w:spacing w:val="-4"/>
          <w:sz w:val="28"/>
          <w:szCs w:val="28"/>
          <w:lang w:val="en-US" w:eastAsia="zh-CN"/>
        </w:rPr>
        <w:t>经费压缩，马场社区聘用人员工资放入项目资金中核算</w:t>
      </w:r>
      <w:r>
        <w:rPr>
          <w:rStyle w:val="16"/>
          <w:rFonts w:hint="eastAsia" w:ascii="仿宋_GB2312" w:hAnsi="楷体" w:eastAsia="仿宋_GB2312" w:cs="Times New Roman"/>
          <w:b w:val="0"/>
          <w:spacing w:val="-4"/>
          <w:sz w:val="28"/>
          <w:szCs w:val="28"/>
        </w:rPr>
        <w:t>。</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2021年一般公共预算“三公”经费数为</w:t>
      </w:r>
      <w:r>
        <w:rPr>
          <w:rStyle w:val="16"/>
          <w:rFonts w:hint="eastAsia" w:ascii="仿宋_GB2312" w:hAnsi="楷体" w:eastAsia="仿宋_GB2312" w:cs="Times New Roman"/>
          <w:b w:val="0"/>
          <w:spacing w:val="-4"/>
          <w:sz w:val="28"/>
          <w:szCs w:val="28"/>
          <w:lang w:val="en-US" w:eastAsia="zh-CN"/>
        </w:rPr>
        <w:t>4</w:t>
      </w:r>
      <w:r>
        <w:rPr>
          <w:rStyle w:val="16"/>
          <w:rFonts w:hint="eastAsia" w:ascii="仿宋_GB2312" w:hAnsi="楷体" w:eastAsia="仿宋_GB2312" w:cs="Times New Roman"/>
          <w:b w:val="0"/>
          <w:spacing w:val="-4"/>
          <w:sz w:val="28"/>
          <w:szCs w:val="28"/>
        </w:rPr>
        <w:t>万元，其中：因公出国（境）费</w:t>
      </w:r>
      <w:r>
        <w:rPr>
          <w:rStyle w:val="16"/>
          <w:rFonts w:hint="eastAsia" w:ascii="仿宋_GB2312" w:hAnsi="楷体" w:eastAsia="仿宋_GB2312" w:cs="Times New Roman"/>
          <w:b w:val="0"/>
          <w:spacing w:val="-4"/>
          <w:sz w:val="28"/>
          <w:szCs w:val="28"/>
          <w:lang w:val="en-US" w:eastAsia="zh-CN"/>
        </w:rPr>
        <w:t>0</w:t>
      </w:r>
      <w:r>
        <w:rPr>
          <w:rStyle w:val="16"/>
          <w:rFonts w:hint="eastAsia" w:ascii="仿宋_GB2312" w:hAnsi="楷体" w:eastAsia="仿宋_GB2312" w:cs="Times New Roman"/>
          <w:b w:val="0"/>
          <w:spacing w:val="-4"/>
          <w:sz w:val="28"/>
          <w:szCs w:val="28"/>
        </w:rPr>
        <w:t>万元，公务用车购置</w:t>
      </w:r>
      <w:r>
        <w:rPr>
          <w:rStyle w:val="16"/>
          <w:rFonts w:hint="eastAsia" w:ascii="仿宋_GB2312" w:hAnsi="楷体" w:eastAsia="仿宋_GB2312" w:cs="Times New Roman"/>
          <w:b w:val="0"/>
          <w:spacing w:val="-4"/>
          <w:sz w:val="28"/>
          <w:szCs w:val="28"/>
          <w:lang w:val="en-US" w:eastAsia="zh-CN"/>
        </w:rPr>
        <w:t>0</w:t>
      </w:r>
      <w:r>
        <w:rPr>
          <w:rStyle w:val="16"/>
          <w:rFonts w:hint="eastAsia" w:ascii="仿宋_GB2312" w:hAnsi="楷体" w:eastAsia="仿宋_GB2312" w:cs="Times New Roman"/>
          <w:b w:val="0"/>
          <w:spacing w:val="-4"/>
          <w:sz w:val="28"/>
          <w:szCs w:val="28"/>
        </w:rPr>
        <w:t>万元，公务用车运行费</w:t>
      </w:r>
      <w:r>
        <w:rPr>
          <w:rStyle w:val="16"/>
          <w:rFonts w:hint="eastAsia" w:ascii="仿宋_GB2312" w:hAnsi="楷体" w:eastAsia="仿宋_GB2312" w:cs="Times New Roman"/>
          <w:b w:val="0"/>
          <w:spacing w:val="-4"/>
          <w:sz w:val="28"/>
          <w:szCs w:val="28"/>
          <w:lang w:val="en-US" w:eastAsia="zh-CN"/>
        </w:rPr>
        <w:t>4</w:t>
      </w:r>
      <w:r>
        <w:rPr>
          <w:rStyle w:val="16"/>
          <w:rFonts w:hint="eastAsia" w:ascii="仿宋_GB2312" w:hAnsi="楷体" w:eastAsia="仿宋_GB2312" w:cs="Times New Roman"/>
          <w:b w:val="0"/>
          <w:spacing w:val="-4"/>
          <w:sz w:val="28"/>
          <w:szCs w:val="28"/>
        </w:rPr>
        <w:t>万元，公务接待费</w:t>
      </w:r>
      <w:r>
        <w:rPr>
          <w:rStyle w:val="16"/>
          <w:rFonts w:hint="eastAsia" w:ascii="仿宋_GB2312" w:hAnsi="楷体" w:eastAsia="仿宋_GB2312" w:cs="Times New Roman"/>
          <w:b w:val="0"/>
          <w:spacing w:val="-4"/>
          <w:sz w:val="28"/>
          <w:szCs w:val="28"/>
          <w:lang w:val="en-US" w:eastAsia="zh-CN"/>
        </w:rPr>
        <w:t>0</w:t>
      </w:r>
      <w:r>
        <w:rPr>
          <w:rStyle w:val="16"/>
          <w:rFonts w:hint="eastAsia" w:ascii="仿宋_GB2312" w:hAnsi="楷体" w:eastAsia="仿宋_GB2312" w:cs="Times New Roman"/>
          <w:b w:val="0"/>
          <w:spacing w:val="-4"/>
          <w:sz w:val="28"/>
          <w:szCs w:val="28"/>
        </w:rPr>
        <w:t>万元。</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2021年一般公共预算“三公”经费比上年增加</w:t>
      </w:r>
      <w:r>
        <w:rPr>
          <w:rStyle w:val="16"/>
          <w:rFonts w:hint="eastAsia" w:ascii="仿宋_GB2312" w:hAnsi="楷体" w:eastAsia="仿宋_GB2312" w:cs="Times New Roman"/>
          <w:b w:val="0"/>
          <w:spacing w:val="-4"/>
          <w:sz w:val="28"/>
          <w:szCs w:val="28"/>
          <w:lang w:val="en-US" w:eastAsia="zh-CN"/>
        </w:rPr>
        <w:t>0.8</w:t>
      </w:r>
      <w:r>
        <w:rPr>
          <w:rStyle w:val="16"/>
          <w:rFonts w:hint="eastAsia" w:ascii="仿宋_GB2312" w:hAnsi="楷体" w:eastAsia="仿宋_GB2312" w:cs="Times New Roman"/>
          <w:b w:val="0"/>
          <w:spacing w:val="-4"/>
          <w:sz w:val="28"/>
          <w:szCs w:val="28"/>
        </w:rPr>
        <w:t>万元，其中：因公出国（境）费增加</w:t>
      </w:r>
      <w:r>
        <w:rPr>
          <w:rStyle w:val="16"/>
          <w:rFonts w:hint="eastAsia" w:ascii="仿宋_GB2312" w:hAnsi="楷体" w:eastAsia="仿宋_GB2312" w:cs="Times New Roman"/>
          <w:b w:val="0"/>
          <w:spacing w:val="-4"/>
          <w:sz w:val="28"/>
          <w:szCs w:val="28"/>
          <w:lang w:val="en-US" w:eastAsia="zh-CN"/>
        </w:rPr>
        <w:t>0</w:t>
      </w:r>
      <w:r>
        <w:rPr>
          <w:rStyle w:val="16"/>
          <w:rFonts w:hint="eastAsia" w:ascii="仿宋_GB2312" w:hAnsi="楷体" w:eastAsia="仿宋_GB2312" w:cs="Times New Roman"/>
          <w:b w:val="0"/>
          <w:spacing w:val="-4"/>
          <w:sz w:val="28"/>
          <w:szCs w:val="28"/>
        </w:rPr>
        <w:t>万元，主要原因是未安排预算；公务用车购置费为0，未安排预算。公务用车运行费增加</w:t>
      </w:r>
      <w:r>
        <w:rPr>
          <w:rStyle w:val="16"/>
          <w:rFonts w:hint="eastAsia" w:ascii="仿宋_GB2312" w:hAnsi="楷体" w:eastAsia="仿宋_GB2312" w:cs="Times New Roman"/>
          <w:b w:val="0"/>
          <w:spacing w:val="-4"/>
          <w:sz w:val="28"/>
          <w:szCs w:val="28"/>
          <w:lang w:val="en-US" w:eastAsia="zh-CN"/>
        </w:rPr>
        <w:t>0.8</w:t>
      </w:r>
      <w:r>
        <w:rPr>
          <w:rStyle w:val="16"/>
          <w:rFonts w:hint="eastAsia" w:ascii="仿宋_GB2312" w:hAnsi="楷体" w:eastAsia="仿宋_GB2312" w:cs="Times New Roman"/>
          <w:b w:val="0"/>
          <w:spacing w:val="-4"/>
          <w:sz w:val="28"/>
          <w:szCs w:val="28"/>
        </w:rPr>
        <w:t>万元，主要原因是</w:t>
      </w:r>
      <w:r>
        <w:rPr>
          <w:rStyle w:val="16"/>
          <w:rFonts w:hint="eastAsia" w:ascii="仿宋_GB2312" w:hAnsi="楷体" w:eastAsia="仿宋_GB2312" w:cs="Times New Roman"/>
          <w:b w:val="0"/>
          <w:spacing w:val="-4"/>
          <w:sz w:val="28"/>
          <w:szCs w:val="28"/>
          <w:lang w:val="en-US" w:eastAsia="zh-CN"/>
        </w:rPr>
        <w:t>2021年公务用车运行费标准增加</w:t>
      </w:r>
      <w:r>
        <w:rPr>
          <w:rStyle w:val="16"/>
          <w:rFonts w:hint="eastAsia" w:ascii="仿宋_GB2312" w:hAnsi="楷体" w:eastAsia="仿宋_GB2312" w:cs="Times New Roman"/>
          <w:b w:val="0"/>
          <w:spacing w:val="-4"/>
          <w:sz w:val="28"/>
          <w:szCs w:val="28"/>
        </w:rPr>
        <w:t>；公务接待费增加</w:t>
      </w:r>
      <w:r>
        <w:rPr>
          <w:rStyle w:val="16"/>
          <w:rFonts w:hint="eastAsia" w:ascii="仿宋_GB2312" w:hAnsi="楷体" w:eastAsia="仿宋_GB2312" w:cs="Times New Roman"/>
          <w:b w:val="0"/>
          <w:spacing w:val="-4"/>
          <w:sz w:val="28"/>
          <w:szCs w:val="28"/>
          <w:lang w:val="en-US" w:eastAsia="zh-CN"/>
        </w:rPr>
        <w:t>0</w:t>
      </w:r>
      <w:r>
        <w:rPr>
          <w:rStyle w:val="16"/>
          <w:rFonts w:hint="eastAsia" w:ascii="仿宋_GB2312" w:hAnsi="楷体" w:eastAsia="仿宋_GB2312" w:cs="Times New Roman"/>
          <w:b w:val="0"/>
          <w:spacing w:val="-4"/>
          <w:sz w:val="28"/>
          <w:szCs w:val="28"/>
        </w:rPr>
        <w:t>万元，主要原因是未安排预算。</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cs="Times New Roman"/>
          <w:b w:val="0"/>
          <w:spacing w:val="-4"/>
          <w:sz w:val="28"/>
          <w:szCs w:val="28"/>
          <w:lang w:val="en-US" w:eastAsia="zh-CN"/>
        </w:rPr>
        <w:t>2021年预算安排专项资金0万元，实际到位0万元, 到位率0％,其中:中央转移支付项目资金0万元，自治区资金0万元，本级安排0万元。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2021年专项资金支出0万元，占总支出的0%，其中2021年专项项目支出比上年0万元减少0万元，下降0%。支出减少的主要原因是无。</w:t>
      </w:r>
    </w:p>
    <w:p>
      <w:pPr>
        <w:spacing w:line="360" w:lineRule="auto"/>
        <w:ind w:firstLine="492" w:firstLineChars="181"/>
        <w:rPr>
          <w:rStyle w:val="16"/>
          <w:rFonts w:ascii="仿宋_GB2312" w:hAnsi="楷体" w:eastAsia="仿宋_GB2312"/>
          <w:b w:val="0"/>
          <w:spacing w:val="-4"/>
          <w:sz w:val="28"/>
          <w:szCs w:val="28"/>
        </w:rPr>
      </w:pP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为规范专项资金使用，提高专项资金使用效益，我单位主要采取四项措施。</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一是制订专项资金管理制度；二是各专项资金建立了专帐；三是制订了项目实施方案；四是认真组织项目验收。切实确保专项资金都做到了专款专用。其中：</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1）制定了《特克斯县阔克苏乡人民政府单位经济合同管理办法》，《特克斯县阔克苏乡人民政府项目管理办法》专项资金管理办法，各项资金使用审批流程均按规定办理。涉及“三重一大”内容，严格按照规定提请局党组会审议决定，包括项目资金分配、重大项目确定、大额资金支付等。</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（2）建立阔克苏乡项目专项资金专帐，做到有据可依，有据可查。</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（3）制订了阔克苏乡项目实施方案，确保项目有序实施。</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（4）认真组织项目验收，确保项目按时保质保量完成并投入使用。</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专项资金涉及政府采购项目的，按照局《特克斯县采购与招标管理办法》组织人员制定采购计划，按照财政局采购部门批复，进行公开招标、邀请招标等方式进行。</w:t>
      </w:r>
    </w:p>
    <w:p>
      <w:pPr>
        <w:spacing w:line="360" w:lineRule="auto"/>
        <w:ind w:firstLine="492" w:firstLineChars="181"/>
        <w:rPr>
          <w:rStyle w:val="16"/>
          <w:rFonts w:ascii="仿宋_GB2312" w:hAnsi="楷体" w:eastAsia="仿宋_GB2312"/>
          <w:b w:val="0"/>
          <w:spacing w:val="-4"/>
          <w:sz w:val="28"/>
          <w:szCs w:val="28"/>
        </w:rPr>
      </w:pPr>
    </w:p>
    <w:p>
      <w:pPr>
        <w:pStyle w:val="3"/>
        <w:numPr>
          <w:ilvl w:val="0"/>
          <w:numId w:val="1"/>
        </w:numPr>
        <w:spacing w:line="360" w:lineRule="auto"/>
        <w:rPr>
          <w:rFonts w:hint="eastAsia" w:ascii="仿宋" w:hAnsi="仿宋" w:eastAsia="仿宋"/>
          <w:sz w:val="36"/>
          <w:szCs w:val="36"/>
          <w:lang w:bidi="ar"/>
        </w:rPr>
      </w:pPr>
      <w:bookmarkStart w:id="19" w:name="_Toc70450306"/>
      <w:r>
        <w:rPr>
          <w:rFonts w:hint="eastAsia" w:ascii="仿宋" w:hAnsi="仿宋" w:eastAsia="仿宋"/>
          <w:sz w:val="36"/>
          <w:szCs w:val="36"/>
          <w:lang w:bidi="ar"/>
        </w:rPr>
        <w:t>部门单位专项组织实施情况</w:t>
      </w:r>
      <w:bookmarkEnd w:id="19"/>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本单位2021年度未安排项目支出预算</w:t>
      </w:r>
    </w:p>
    <w:p>
      <w:pPr>
        <w:rPr>
          <w:rFonts w:hint="eastAsia"/>
        </w:rPr>
      </w:pPr>
    </w:p>
    <w:p>
      <w:pPr>
        <w:pStyle w:val="3"/>
        <w:spacing w:line="360" w:lineRule="auto"/>
        <w:rPr>
          <w:rFonts w:ascii="仿宋" w:hAnsi="仿宋" w:eastAsia="仿宋"/>
          <w:sz w:val="36"/>
          <w:szCs w:val="36"/>
          <w:lang w:bidi="ar"/>
        </w:rPr>
      </w:pPr>
      <w:bookmarkStart w:id="20" w:name="_Toc70450310"/>
      <w:r>
        <w:rPr>
          <w:rFonts w:hint="eastAsia" w:ascii="仿宋" w:hAnsi="仿宋" w:eastAsia="仿宋"/>
          <w:sz w:val="36"/>
          <w:szCs w:val="36"/>
          <w:lang w:bidi="ar"/>
        </w:rPr>
        <w:t>四、资产管理情况</w:t>
      </w:r>
      <w:bookmarkEnd w:id="20"/>
    </w:p>
    <w:p>
      <w:pPr>
        <w:pStyle w:val="4"/>
        <w:spacing w:line="360" w:lineRule="auto"/>
        <w:rPr>
          <w:rStyle w:val="16"/>
          <w:rFonts w:ascii="仿宋" w:hAnsi="仿宋" w:eastAsia="仿宋"/>
          <w:b/>
          <w:bCs/>
          <w:highlight w:val="none"/>
        </w:rPr>
      </w:pPr>
      <w:bookmarkStart w:id="21" w:name="_Toc70450311"/>
      <w:r>
        <w:rPr>
          <w:rStyle w:val="16"/>
          <w:rFonts w:hint="eastAsia" w:ascii="仿宋" w:hAnsi="仿宋" w:eastAsia="仿宋"/>
          <w:b/>
          <w:bCs/>
          <w:highlight w:val="none"/>
        </w:rPr>
        <w:t>（一）资产配置情况</w:t>
      </w:r>
      <w:bookmarkEnd w:id="21"/>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2021年我单位资产总额133.98万元，其中流动资产35.58万元（其中：应收账款净额35.58万元），固定资产净值98.39万元（其中：土地、房屋及构筑物10.29万元，占固定资产净值的10.48%；通用设备30.56万元，占固定资产净值的31.06%；专用设备3.27万元，占固定资产净值的3.30%；其他54.27万元，占固定资产净值的55.16%）。</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本年度流动资产35.59万元，比上年减少32.77万元，原因是：前期应收款项清理。</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本年度固定资产98.39万元，比上年减少26.53万元，原因是：固定资产累计折旧。</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实际在用固定资产88.1万元，固定资产利用率65.76%。</w:t>
      </w:r>
    </w:p>
    <w:p>
      <w:pPr>
        <w:pStyle w:val="4"/>
        <w:spacing w:line="360" w:lineRule="auto"/>
        <w:rPr>
          <w:rStyle w:val="16"/>
          <w:rFonts w:ascii="仿宋" w:hAnsi="仿宋" w:eastAsia="仿宋"/>
          <w:b/>
          <w:bCs/>
          <w:highlight w:val="none"/>
        </w:rPr>
      </w:pPr>
      <w:bookmarkStart w:id="22" w:name="_Toc70450312"/>
      <w:r>
        <w:rPr>
          <w:rStyle w:val="16"/>
          <w:rFonts w:hint="eastAsia" w:ascii="仿宋" w:hAnsi="仿宋" w:eastAsia="仿宋"/>
          <w:b/>
          <w:bCs/>
          <w:highlight w:val="none"/>
        </w:rPr>
        <w:t>（二）资产管理情况</w:t>
      </w:r>
      <w:bookmarkEnd w:id="22"/>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spacing w:val="-4"/>
          <w:sz w:val="28"/>
          <w:szCs w:val="28"/>
        </w:rPr>
      </w:pPr>
    </w:p>
    <w:p>
      <w:pPr>
        <w:pStyle w:val="3"/>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4"/>
        <w:spacing w:line="360" w:lineRule="auto"/>
        <w:ind w:firstLine="643" w:firstLineChars="200"/>
        <w:rPr>
          <w:rStyle w:val="16"/>
          <w:rFonts w:ascii="仿宋" w:hAnsi="仿宋" w:eastAsia="仿宋"/>
          <w:b/>
          <w:bCs/>
        </w:rPr>
      </w:pPr>
      <w:bookmarkStart w:id="24" w:name="_Toc70450314"/>
      <w:r>
        <w:rPr>
          <w:rStyle w:val="16"/>
          <w:rFonts w:hint="eastAsia" w:ascii="仿宋" w:hAnsi="仿宋" w:eastAsia="仿宋"/>
          <w:b/>
          <w:bCs/>
        </w:rPr>
        <w:t>（一）经济效益评价</w:t>
      </w:r>
      <w:bookmarkEnd w:id="24"/>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2021年度我单位年初预算安排931.42万元，年中调整1600.37万元，截止12月底支出2531.79万元，执行率100%。</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1、预算资金执行过程中均按照年初预算分配情况均做到专款专用，未出现资金侵、挪占情况。</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2、全年按照部门预算进行成本控制，全部控制在厉行节约指标数内。其他支出按财政部门下达的计划实施，全年没有项目超支。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5" w:name="_Toc70450315"/>
      <w:r>
        <w:rPr>
          <w:rStyle w:val="16"/>
          <w:rFonts w:hint="eastAsia" w:ascii="仿宋" w:hAnsi="仿宋" w:eastAsia="仿宋"/>
          <w:b/>
          <w:bCs/>
        </w:rPr>
        <w:t>（二）效率性评价</w:t>
      </w:r>
      <w:bookmarkEnd w:id="25"/>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2021年，在县委政府的大力支持和乡党委的正确领导下，我单位迎难而上、务实重干，积极推动各项财政工作取得了新的进展，为促进经济持续健康发展与社会和谐稳定提供了有力的财政支撑和保障。</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1、圆满完成年初既定目标任务工作</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提高政治站位，增强‘“四个意识”，坚定“四个自信”，做到“两个维护”的政治高度，以最坚定的决心，最迅速的行动、最严实的作风，坚决完成第三方评估、成效考核、县委督查、审计跟踪等问题整改清零销号；着力解决“两不愁三保障”突出问题，全力补齐短板弱项，综合统筹，协调推进，抓好各项经济增长，积极做好疫病防控工作。</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2、下达告知项目任务提前完成</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以工代赈项目计划是党中央、国务院为了改善贫困地区基础设施条件、助力乡村振兴、帮助脱贫群众致富的重大举措。针对提前下达的以工代赈任务计划，保质保量顺利实施。</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3.环境治理成效显著</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积极开展农村人居环境整治工作，建立健全网格化管理工作机制，全面推行“片长”“巷长”工作制度，建立“村干部包片”管理体系，有效发挥“片长”“巷长”先锋引领作用，打通农村人居环境整治“神经末梢”。</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4.垃圾清理批次、绿化面积全面达标，群众满意度高</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从去年开始，乡政府和相关部门，为了解决垃圾收集站恶臭问题，组织对收集站进行了恶臭治理。对沿途村庄种植灌木丛、风景树，提高绿化面积，美化环境，营造了良好的村貌。</w:t>
      </w:r>
    </w:p>
    <w:p>
      <w:pPr>
        <w:pStyle w:val="4"/>
        <w:spacing w:line="360" w:lineRule="auto"/>
        <w:ind w:firstLine="643" w:firstLineChars="200"/>
        <w:rPr>
          <w:rStyle w:val="16"/>
          <w:rFonts w:ascii="仿宋" w:hAnsi="仿宋" w:eastAsia="仿宋"/>
          <w:b/>
          <w:bCs/>
        </w:rPr>
      </w:pPr>
      <w:bookmarkStart w:id="26" w:name="_Toc70450316"/>
      <w:r>
        <w:rPr>
          <w:rStyle w:val="16"/>
          <w:rFonts w:hint="eastAsia" w:ascii="仿宋" w:hAnsi="仿宋" w:eastAsia="仿宋"/>
          <w:b/>
          <w:bCs/>
        </w:rPr>
        <w:t>（三）有效性评价</w:t>
      </w:r>
      <w:bookmarkEnd w:id="26"/>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2021年部门支出的有效性主要体现在我单位各项工作成效上，一是预算执行进一步夯实，二是财务业务能力进一步提升，三是财政监督进一步改善，四是群众知晓率进一步提高，详细情况如下：</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特克斯县阔克苏乡整体绩效目标共设置一级指标3个，二级指标7个，三级指标13个，详细说明如下</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1、数量指标：</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指标1：保障人数，指标值：≥86人，实际完成值：86人 ，指标完成率100%；</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指标2：阔克苏乡支出总单位，指标值：=10个 ，实际完成值：10个，指标完成率100%；</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2、质量指标：</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指标1：全年全乡人员工资及社保错发漏发率，指标值：≤1% ，实际完成值：1% ，指标完成率100%；</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3、时效指标：</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指标1：工资及社保发放及时性，指标值：=100%，实际完成值：100%，指标完成率100%；</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4、成本指标：</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指标1： 人均支出标准，指标值：≤9.48万元，实际完成值：9.48万元，指标完成率100%；</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指标2：人均运转经费数，指标值：≤1.34万元，实际完成值：≤1.34万元，指标完成率100%；</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5、经济效益指标：</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指标1：当地居民较上年人均增加收入额，指标值：≥200元 ，实际完成值：200元，指标完成率100%；</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6、社会效益指标：</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指标1：提升公共服务水平，指标值：有效提升，实际完成值：有效提升 ，指标完成率100%；</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指标2：保障全乡日常工作运转、提高工作效率和质量，指标值：有效保障，实际完成值：有效保障，指标完成率100%；</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指标3：扩大辖区绿化面积，指标值：不断扩大，实际完成值：不断扩大，指标完成率100%；</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指标4：各项政策群众知晓率，指标值：≥99%，实际完成值：99%，指标完成率100%；</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7、满意度指标：</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指标1：辖区群众满意度 ，指标值：≥95%，实际完成值：95% ，指标完成率100%；</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指标2：来往游客满意度 ，指标值：≥97% ，实际完成值：97% ，指标完成率100%。</w:t>
      </w:r>
    </w:p>
    <w:p>
      <w:pPr>
        <w:pStyle w:val="3"/>
        <w:numPr>
          <w:ilvl w:val="0"/>
          <w:numId w:val="2"/>
        </w:numPr>
        <w:spacing w:line="360" w:lineRule="auto"/>
        <w:rPr>
          <w:rFonts w:hint="eastAsia" w:ascii="仿宋" w:hAnsi="仿宋" w:eastAsia="仿宋"/>
          <w:sz w:val="36"/>
          <w:szCs w:val="36"/>
          <w:lang w:bidi="ar"/>
        </w:rPr>
      </w:pPr>
      <w:bookmarkStart w:id="27" w:name="_Toc70450317"/>
      <w:r>
        <w:rPr>
          <w:rFonts w:hint="eastAsia" w:ascii="仿宋" w:hAnsi="仿宋" w:eastAsia="仿宋"/>
          <w:sz w:val="36"/>
          <w:szCs w:val="36"/>
          <w:lang w:bidi="ar"/>
        </w:rPr>
        <w:t>存在的主要问题</w:t>
      </w:r>
      <w:bookmarkEnd w:id="27"/>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(一)预算执行存在偏差</w:t>
      </w:r>
    </w:p>
    <w:p>
      <w:pPr>
        <w:pStyle w:val="12"/>
        <w:widowControl/>
        <w:spacing w:before="40" w:beforeAutospacing="0" w:after="0" w:afterAutospacing="0" w:line="520" w:lineRule="atLeast"/>
        <w:ind w:firstLine="520"/>
        <w:jc w:val="both"/>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29"/>
        <w:numPr>
          <w:ilvl w:val="0"/>
          <w:numId w:val="3"/>
        </w:numPr>
        <w:spacing w:line="560" w:lineRule="exact"/>
        <w:ind w:firstLine="530" w:firstLineChars="195"/>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项目细化管理工作不足。基础建设工程经费包含小类项目较多，主要是监理费、可研费、地勘费等，在执行过程中，监理费、可研费、地勘费的使用范围并不能把握到位，造成项目遇到各种不确定因素，财政资金无法发挥最大使用效益。</w:t>
      </w:r>
    </w:p>
    <w:p>
      <w:pPr>
        <w:pStyle w:val="29"/>
        <w:spacing w:line="560" w:lineRule="exact"/>
        <w:ind w:firstLine="544" w:firstLineChars="200"/>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三）预算绩效管理水平仍有欠缺。在2020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2"/>
        <w:widowControl/>
        <w:spacing w:before="40" w:beforeAutospacing="0" w:after="0" w:afterAutospacing="0" w:line="520" w:lineRule="atLeast"/>
        <w:ind w:firstLine="272" w:firstLineChars="100"/>
        <w:jc w:val="both"/>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（四）固定资产管理水平有待提高</w:t>
      </w:r>
    </w:p>
    <w:p>
      <w:pPr>
        <w:pStyle w:val="12"/>
        <w:widowControl/>
        <w:spacing w:before="40" w:beforeAutospacing="0" w:after="0" w:afterAutospacing="0" w:line="520" w:lineRule="atLeast"/>
        <w:ind w:firstLine="520"/>
        <w:jc w:val="both"/>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固定资产台账未及时与账面资产金额对账且末与实物进行清点及及时清理处置报废资产导致资产台账与账面资产金额存在差异,固定资产管理继续加强中。</w:t>
      </w:r>
    </w:p>
    <w:p>
      <w:pPr>
        <w:pStyle w:val="3"/>
        <w:numPr>
          <w:ilvl w:val="0"/>
          <w:numId w:val="2"/>
        </w:numPr>
        <w:spacing w:line="360" w:lineRule="auto"/>
        <w:ind w:left="0" w:leftChars="0" w:firstLine="0" w:firstLineChars="0"/>
        <w:rPr>
          <w:rFonts w:hint="eastAsia" w:ascii="仿宋" w:hAnsi="仿宋" w:eastAsia="仿宋"/>
          <w:sz w:val="36"/>
          <w:szCs w:val="36"/>
          <w:lang w:bidi="ar"/>
        </w:rPr>
      </w:pPr>
      <w:bookmarkStart w:id="28" w:name="_Toc70450318"/>
      <w:r>
        <w:rPr>
          <w:rFonts w:hint="eastAsia" w:ascii="仿宋" w:hAnsi="仿宋" w:eastAsia="仿宋"/>
          <w:sz w:val="36"/>
          <w:szCs w:val="36"/>
          <w:lang w:bidi="ar"/>
        </w:rPr>
        <w:t>改进措施和建议</w:t>
      </w:r>
      <w:bookmarkEnd w:id="28"/>
    </w:p>
    <w:p>
      <w:pPr>
        <w:pStyle w:val="4"/>
        <w:numPr>
          <w:ilvl w:val="0"/>
          <w:numId w:val="4"/>
        </w:numPr>
        <w:spacing w:line="360" w:lineRule="auto"/>
        <w:rPr>
          <w:rStyle w:val="16"/>
          <w:rFonts w:hint="eastAsia" w:ascii="仿宋" w:hAnsi="仿宋" w:eastAsia="仿宋"/>
          <w:b/>
          <w:bCs/>
        </w:rPr>
      </w:pPr>
      <w:bookmarkStart w:id="29" w:name="_Toc70450319"/>
      <w:r>
        <w:rPr>
          <w:rStyle w:val="16"/>
          <w:rFonts w:hint="eastAsia" w:ascii="仿宋" w:hAnsi="仿宋" w:eastAsia="仿宋"/>
          <w:b/>
          <w:bCs/>
        </w:rPr>
        <w:t>改进措施</w:t>
      </w:r>
      <w:bookmarkEnd w:id="29"/>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1、加强新行政单位会计制度和新预算法学习培训、规范账务处理，加强新《预算法》、《行政单位会计制度》、《会计法》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2、完善管理制度,进-步加强资产管理。严格按照《固定资产管理办法》的规定，加强固定资产管理,及时登记、更新台账，加强资产卡片管理,对各类实物资产进行全面盘点,确保账账、账实相符。</w:t>
      </w:r>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3、加强学习。进一步明确如何参照考核体系，科学合理设定绩效目标，充分发挥预算绩效管理工作效用。</w:t>
      </w:r>
    </w:p>
    <w:p>
      <w:pPr>
        <w:numPr>
          <w:ilvl w:val="0"/>
          <w:numId w:val="0"/>
        </w:numPr>
      </w:pPr>
    </w:p>
    <w:p>
      <w:pPr>
        <w:spacing w:line="360" w:lineRule="auto"/>
        <w:rPr>
          <w:rFonts w:ascii="仿宋" w:hAnsi="仿宋" w:eastAsia="仿宋"/>
          <w:sz w:val="22"/>
          <w:szCs w:val="28"/>
        </w:rPr>
      </w:pPr>
    </w:p>
    <w:p>
      <w:pPr>
        <w:pStyle w:val="4"/>
        <w:spacing w:line="360" w:lineRule="auto"/>
        <w:rPr>
          <w:rStyle w:val="16"/>
          <w:rFonts w:ascii="仿宋" w:hAnsi="仿宋" w:eastAsia="仿宋"/>
          <w:b/>
          <w:bCs/>
        </w:rPr>
      </w:pPr>
      <w:bookmarkStart w:id="30" w:name="_Toc70450320"/>
      <w:r>
        <w:rPr>
          <w:rStyle w:val="16"/>
          <w:rFonts w:hint="eastAsia" w:ascii="仿宋" w:hAnsi="仿宋" w:eastAsia="仿宋"/>
          <w:b/>
          <w:bCs/>
        </w:rPr>
        <w:t>（二）建议</w:t>
      </w:r>
      <w:bookmarkEnd w:id="30"/>
    </w:p>
    <w:p>
      <w:pPr>
        <w:numPr>
          <w:ilvl w:val="0"/>
          <w:numId w:val="0"/>
        </w:numPr>
        <w:ind w:leftChars="0"/>
      </w:pPr>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1、财务上，会计核算要更加详细，为本单位各项工作的开展、总结、评估提供有效数据资料支撑,为各项业务工作更好的开展提供帮助。</w:t>
      </w:r>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2、从源头上强化对专项资金预算管理。实行专项资金预算管理，结合单位实际, 按轻重缓急统筹安排编制预算,提高预算编制科学性和合理性,优化资金结构。</w:t>
      </w:r>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3、按时间进度分解资金使用计划。专项资金的使用，要事前做计划，事中进行控制，事后总结提高。合理安排资金使用,充分体现资金投向的目标和效益。</w:t>
      </w:r>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4、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360" w:lineRule="auto"/>
      </w:pPr>
    </w:p>
    <w:p>
      <w:pPr>
        <w:pStyle w:val="3"/>
        <w:spacing w:line="360" w:lineRule="auto"/>
        <w:rPr>
          <w:rStyle w:val="16"/>
          <w:rFonts w:ascii="仿宋" w:hAnsi="仿宋" w:eastAsia="仿宋"/>
          <w:b/>
          <w:bCs/>
          <w:sz w:val="36"/>
          <w:szCs w:val="36"/>
        </w:rPr>
      </w:pPr>
      <w:bookmarkStart w:id="31"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2" w:name="_Hlk70450148"/>
      <w:r>
        <w:rPr>
          <w:rStyle w:val="16"/>
          <w:rFonts w:hint="eastAsia" w:ascii="仿宋" w:hAnsi="仿宋" w:eastAsia="仿宋"/>
          <w:b/>
          <w:bCs/>
          <w:sz w:val="36"/>
          <w:szCs w:val="36"/>
        </w:rPr>
        <w:t>《部门整体支出绩效目标自评表》</w:t>
      </w:r>
      <w:bookmarkEnd w:id="31"/>
      <w:bookmarkEnd w:id="32"/>
    </w:p>
    <w:p>
      <w:r>
        <w:br w:type="page"/>
      </w:r>
    </w:p>
    <w:p>
      <w:pPr>
        <w:rPr>
          <w:rFonts w:ascii="仿宋" w:hAnsi="仿宋" w:eastAsia="仿宋" w:cs="宋体"/>
          <w:color w:val="333333"/>
          <w:sz w:val="32"/>
          <w:szCs w:val="32"/>
          <w:lang w:bidi="ar"/>
        </w:rPr>
      </w:pPr>
      <w:r>
        <w:rPr>
          <w:rFonts w:ascii="仿宋" w:hAnsi="仿宋" w:eastAsia="仿宋" w:cs="宋体"/>
          <w:color w:val="333333"/>
          <w:sz w:val="32"/>
          <w:szCs w:val="32"/>
          <w:lang w:bidi="ar"/>
        </w:rPr>
        <w:object>
          <v:shape id="_x0000_i1025" o:spt="75" type="#_x0000_t75" style="height:687.1pt;width:431.5pt;" o:ole="t" filled="f" o:preferrelative="t" stroked="f" coordsize="21600,21600">
            <v:path/>
            <v:fill on="f" focussize="0,0"/>
            <v:stroke on="f"/>
            <v:imagedata r:id="rId6" o:title=""/>
            <o:lock v:ext="edit" aspectratio="f"/>
            <w10:wrap type="none"/>
            <w10:anchorlock/>
          </v:shape>
          <o:OLEObject Type="Embed" ProgID="Excel.Sheet.8" ShapeID="_x0000_i1025" DrawAspect="Content" ObjectID="_1468075725" r:id="rId5">
            <o:LockedField>false</o:LockedField>
          </o:OLEObject>
        </w:object>
      </w: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0AFF" w:usb1="00007843" w:usb2="00000001" w:usb3="00000000" w:csb0="400001BF" w:csb1="DFF7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1F1B0A"/>
    <w:multiLevelType w:val="singleLevel"/>
    <w:tmpl w:val="E41F1B0A"/>
    <w:lvl w:ilvl="0" w:tentative="0">
      <w:start w:val="2"/>
      <w:numFmt w:val="chineseCounting"/>
      <w:suff w:val="nothing"/>
      <w:lvlText w:val="（%1）"/>
      <w:lvlJc w:val="left"/>
      <w:rPr>
        <w:rFonts w:hint="eastAsia"/>
      </w:rPr>
    </w:lvl>
  </w:abstractNum>
  <w:abstractNum w:abstractNumId="1">
    <w:nsid w:val="0E324CC6"/>
    <w:multiLevelType w:val="singleLevel"/>
    <w:tmpl w:val="0E324CC6"/>
    <w:lvl w:ilvl="0" w:tentative="0">
      <w:start w:val="1"/>
      <w:numFmt w:val="chineseCounting"/>
      <w:suff w:val="nothing"/>
      <w:lvlText w:val="（%1）"/>
      <w:lvlJc w:val="left"/>
      <w:rPr>
        <w:rFonts w:hint="eastAsia"/>
      </w:rPr>
    </w:lvl>
  </w:abstractNum>
  <w:abstractNum w:abstractNumId="2">
    <w:nsid w:val="4C59894C"/>
    <w:multiLevelType w:val="singleLevel"/>
    <w:tmpl w:val="4C59894C"/>
    <w:lvl w:ilvl="0" w:tentative="0">
      <w:start w:val="6"/>
      <w:numFmt w:val="chineseCounting"/>
      <w:suff w:val="nothing"/>
      <w:lvlText w:val="%1、"/>
      <w:lvlJc w:val="left"/>
      <w:rPr>
        <w:rFonts w:hint="eastAsia"/>
      </w:rPr>
    </w:lvl>
  </w:abstractNum>
  <w:abstractNum w:abstractNumId="3">
    <w:nsid w:val="554CF72E"/>
    <w:multiLevelType w:val="singleLevel"/>
    <w:tmpl w:val="554CF72E"/>
    <w:lvl w:ilvl="0" w:tentative="0">
      <w:start w:val="3"/>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3634"/>
    <w:rsid w:val="0022744B"/>
    <w:rsid w:val="00234372"/>
    <w:rsid w:val="00234B37"/>
    <w:rsid w:val="00246941"/>
    <w:rsid w:val="002764C7"/>
    <w:rsid w:val="002D075E"/>
    <w:rsid w:val="00303A08"/>
    <w:rsid w:val="003226C4"/>
    <w:rsid w:val="003E3DEF"/>
    <w:rsid w:val="003E7C70"/>
    <w:rsid w:val="0049337C"/>
    <w:rsid w:val="004B207E"/>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206152F"/>
    <w:rsid w:val="022A6766"/>
    <w:rsid w:val="0337738D"/>
    <w:rsid w:val="070E48A8"/>
    <w:rsid w:val="07D82CC8"/>
    <w:rsid w:val="09000221"/>
    <w:rsid w:val="0D335069"/>
    <w:rsid w:val="0D501777"/>
    <w:rsid w:val="0E9A5E97"/>
    <w:rsid w:val="0EC8358F"/>
    <w:rsid w:val="0F6A6CD1"/>
    <w:rsid w:val="0FF46D31"/>
    <w:rsid w:val="13E0137B"/>
    <w:rsid w:val="158B2D0B"/>
    <w:rsid w:val="18873E96"/>
    <w:rsid w:val="1B0D70F4"/>
    <w:rsid w:val="1CEF45BA"/>
    <w:rsid w:val="1E554EE7"/>
    <w:rsid w:val="1EB60E4D"/>
    <w:rsid w:val="1F51312D"/>
    <w:rsid w:val="20CA763A"/>
    <w:rsid w:val="212C7FCB"/>
    <w:rsid w:val="263D5509"/>
    <w:rsid w:val="27541A0C"/>
    <w:rsid w:val="2A8D3BB3"/>
    <w:rsid w:val="2C224B09"/>
    <w:rsid w:val="3287538B"/>
    <w:rsid w:val="334818A1"/>
    <w:rsid w:val="336D53BD"/>
    <w:rsid w:val="34311273"/>
    <w:rsid w:val="35010FB6"/>
    <w:rsid w:val="35C506A4"/>
    <w:rsid w:val="365612FD"/>
    <w:rsid w:val="37600FC8"/>
    <w:rsid w:val="39D864CC"/>
    <w:rsid w:val="3A704957"/>
    <w:rsid w:val="3AE33886"/>
    <w:rsid w:val="3CD54D15"/>
    <w:rsid w:val="3FA53259"/>
    <w:rsid w:val="3FBE2EF4"/>
    <w:rsid w:val="40995D39"/>
    <w:rsid w:val="409E221E"/>
    <w:rsid w:val="440525B4"/>
    <w:rsid w:val="44CF2C59"/>
    <w:rsid w:val="463C1F0E"/>
    <w:rsid w:val="48B04D8D"/>
    <w:rsid w:val="48D2278F"/>
    <w:rsid w:val="49AD6D61"/>
    <w:rsid w:val="4C7E4CB1"/>
    <w:rsid w:val="4C8B1D2E"/>
    <w:rsid w:val="4CD9638C"/>
    <w:rsid w:val="4F8579D5"/>
    <w:rsid w:val="50202CB4"/>
    <w:rsid w:val="50C23D07"/>
    <w:rsid w:val="5412521D"/>
    <w:rsid w:val="55CE6CAA"/>
    <w:rsid w:val="57366D2E"/>
    <w:rsid w:val="5CC22998"/>
    <w:rsid w:val="5D8A3715"/>
    <w:rsid w:val="5E555137"/>
    <w:rsid w:val="61E10930"/>
    <w:rsid w:val="69BD4C13"/>
    <w:rsid w:val="6B4A697B"/>
    <w:rsid w:val="6E522B04"/>
    <w:rsid w:val="6F9E1043"/>
    <w:rsid w:val="70B85B34"/>
    <w:rsid w:val="70BF70C6"/>
    <w:rsid w:val="726D03AB"/>
    <w:rsid w:val="73410663"/>
    <w:rsid w:val="735A39A6"/>
    <w:rsid w:val="73967A21"/>
    <w:rsid w:val="745E5732"/>
    <w:rsid w:val="79E9735F"/>
    <w:rsid w:val="7A495F15"/>
    <w:rsid w:val="7AE06CCE"/>
    <w:rsid w:val="7BE20509"/>
    <w:rsid w:val="7F0F5A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0"/>
    <w:rPr>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8190</Words>
  <Characters>8608</Characters>
  <Lines>72</Lines>
  <Paragraphs>20</Paragraphs>
  <TotalTime>9</TotalTime>
  <ScaleCrop>false</ScaleCrop>
  <LinksUpToDate>false</LinksUpToDate>
  <CharactersWithSpaces>8636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wq</cp:lastModifiedBy>
  <dcterms:modified xsi:type="dcterms:W3CDTF">2023-08-11T03:29:07Z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6403988A6D9D4186B77FDDBC6E199B36</vt:lpwstr>
  </property>
</Properties>
</file>